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5E" w:rsidRPr="004B0A4E" w:rsidRDefault="00425C5E" w:rsidP="00425C5E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b/>
          <w:sz w:val="28"/>
          <w:szCs w:val="24"/>
        </w:rPr>
        <w:t>Отчет о результатах деятельности финансового управления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b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b/>
          <w:sz w:val="28"/>
          <w:szCs w:val="24"/>
        </w:rPr>
        <w:t xml:space="preserve"> район» за </w:t>
      </w:r>
      <w:r w:rsidR="00E2707C" w:rsidRPr="004B0A4E">
        <w:rPr>
          <w:rFonts w:ascii="PT Astra Serif" w:eastAsia="Times New Roman" w:hAnsi="PT Astra Serif" w:cs="Times New Roman"/>
          <w:b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b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b/>
          <w:sz w:val="28"/>
          <w:szCs w:val="24"/>
        </w:rPr>
        <w:t xml:space="preserve"> год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Деятельность финансового управления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в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году осуществлялась в соответствии с Положением, утвержденным решением Совета депутатов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от 23.08.2007 № 428 и в соответствии с утвержденным планом. Основные направления деятельности: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осуществление финансовой, бюджетной, налоговой политики на территории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район»;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обеспечение формирования прогноза доходов и расходов бюджета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район»;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обеспечение в установленном законодательством Российской Федерации порядке казначейского исполнения бюджета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район»;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осуществление финансового контроля за целевым и рациональным использованием бюджетных средств;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составление проекта и исполнение бюджета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и консолидированного бюджета;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- осуществление полномочий органов внутреннего муниципального контроля по осуществлению внутреннего муниципального финансового контроля, в том числе по отношению закупок для обеспечения нужд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район».</w:t>
      </w:r>
    </w:p>
    <w:p w:rsidR="00425C5E" w:rsidRPr="004B0A4E" w:rsidRDefault="00425C5E" w:rsidP="002113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В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году финансовым управлением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подготовлено и внесено на утверждение Совета депутатов муниципального о</w:t>
      </w:r>
      <w:r w:rsidR="005E34AD" w:rsidRPr="004B0A4E">
        <w:rPr>
          <w:rFonts w:ascii="PT Astra Serif" w:eastAsia="Times New Roman" w:hAnsi="PT Astra Serif" w:cs="Times New Roman"/>
          <w:sz w:val="28"/>
          <w:szCs w:val="24"/>
        </w:rPr>
        <w:t>бразования «</w:t>
      </w:r>
      <w:proofErr w:type="spellStart"/>
      <w:r w:rsidR="005E34AD"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="005E34AD"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3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проект</w:t>
      </w:r>
      <w:r w:rsidR="005E34AD" w:rsidRPr="004B0A4E">
        <w:rPr>
          <w:rFonts w:ascii="PT Astra Serif" w:eastAsia="Times New Roman" w:hAnsi="PT Astra Serif" w:cs="Times New Roman"/>
          <w:sz w:val="28"/>
          <w:szCs w:val="24"/>
        </w:rPr>
        <w:t>а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решений по внесению изменений в бюджет.</w:t>
      </w:r>
    </w:p>
    <w:p w:rsidR="00B13892" w:rsidRPr="004B0A4E" w:rsidRDefault="00B13892" w:rsidP="00960C7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Структура и предельная штатная численность работников финансового управления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утверждена решением Совета депутатов муниципального образова</w:t>
      </w:r>
      <w:r w:rsidR="0089389D" w:rsidRPr="004B0A4E">
        <w:rPr>
          <w:rFonts w:ascii="PT Astra Serif" w:eastAsia="Times New Roman" w:hAnsi="PT Astra Serif" w:cs="Times New Roman"/>
          <w:sz w:val="28"/>
          <w:szCs w:val="24"/>
        </w:rPr>
        <w:t>ния «</w:t>
      </w:r>
      <w:proofErr w:type="spellStart"/>
      <w:r w:rsidR="004E4108"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="004E4108"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от 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29</w:t>
      </w:r>
      <w:r w:rsidR="00F6278D" w:rsidRPr="004B0A4E">
        <w:rPr>
          <w:rFonts w:ascii="PT Astra Serif" w:eastAsia="Times New Roman" w:hAnsi="PT Astra Serif" w:cs="Times New Roman"/>
          <w:sz w:val="28"/>
          <w:szCs w:val="24"/>
        </w:rPr>
        <w:t>.0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6</w:t>
      </w:r>
      <w:r w:rsidR="00F6278D" w:rsidRPr="004B0A4E">
        <w:rPr>
          <w:rFonts w:ascii="PT Astra Serif" w:eastAsia="Times New Roman" w:hAnsi="PT Astra Serif" w:cs="Times New Roman"/>
          <w:sz w:val="28"/>
          <w:szCs w:val="24"/>
        </w:rPr>
        <w:t>.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2 г. № 279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в количестве 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14</w:t>
      </w:r>
      <w:r w:rsidR="0089389D" w:rsidRPr="004B0A4E">
        <w:rPr>
          <w:rFonts w:ascii="PT Astra Serif" w:eastAsia="Times New Roman" w:hAnsi="PT Astra Serif" w:cs="Times New Roman"/>
          <w:sz w:val="28"/>
          <w:szCs w:val="24"/>
        </w:rPr>
        <w:t xml:space="preserve"> единиц, в том числе 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6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е</w:t>
      </w:r>
      <w:r w:rsidR="00E418CE" w:rsidRPr="004B0A4E">
        <w:rPr>
          <w:rFonts w:ascii="PT Astra Serif" w:eastAsia="Times New Roman" w:hAnsi="PT Astra Serif" w:cs="Times New Roman"/>
          <w:sz w:val="28"/>
          <w:szCs w:val="24"/>
        </w:rPr>
        <w:t>диниц муниципальных служащих и 8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единиц работников, осуществляющие техническое обеспечение, рабочие и младший обслуживающий персонал, </w:t>
      </w:r>
      <w:r w:rsidR="00C91E51" w:rsidRPr="004B0A4E">
        <w:rPr>
          <w:rFonts w:ascii="PT Astra Serif" w:hAnsi="PT Astra Serif" w:cs="Times New Roman"/>
          <w:sz w:val="28"/>
          <w:szCs w:val="24"/>
        </w:rPr>
        <w:t xml:space="preserve">имеется </w:t>
      </w:r>
      <w:r w:rsidR="004B0A4E" w:rsidRPr="004B0A4E">
        <w:rPr>
          <w:rFonts w:ascii="PT Astra Serif" w:hAnsi="PT Astra Serif" w:cs="Times New Roman"/>
          <w:sz w:val="28"/>
          <w:szCs w:val="24"/>
        </w:rPr>
        <w:t xml:space="preserve">4вакантные должности, из них одна </w:t>
      </w:r>
      <w:r w:rsidR="00C91E51" w:rsidRPr="004B0A4E">
        <w:rPr>
          <w:rFonts w:ascii="PT Astra Serif" w:hAnsi="PT Astra Serif" w:cs="Times New Roman"/>
          <w:sz w:val="28"/>
          <w:szCs w:val="24"/>
        </w:rPr>
        <w:t>по муниципальным служащим</w:t>
      </w:r>
      <w:r w:rsidR="00960C72" w:rsidRPr="004B0A4E">
        <w:rPr>
          <w:rFonts w:ascii="PT Astra Serif" w:hAnsi="PT Astra Serif" w:cs="Times New Roman"/>
          <w:sz w:val="28"/>
          <w:szCs w:val="24"/>
        </w:rPr>
        <w:t>.</w:t>
      </w:r>
    </w:p>
    <w:p w:rsidR="00960C72" w:rsidRPr="004B0A4E" w:rsidRDefault="00960C72" w:rsidP="00960C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B956F0" w:rsidRPr="004B0A4E" w:rsidRDefault="00B956F0" w:rsidP="00B956F0">
      <w:pPr>
        <w:ind w:right="-5"/>
        <w:jc w:val="center"/>
        <w:rPr>
          <w:rFonts w:ascii="PT Astra Serif" w:hAnsi="PT Astra Serif" w:cs="Times New Roman"/>
          <w:b/>
          <w:bCs/>
          <w:i/>
          <w:iCs/>
          <w:sz w:val="28"/>
          <w:szCs w:val="24"/>
        </w:rPr>
      </w:pPr>
      <w:r w:rsidRPr="004B0A4E">
        <w:rPr>
          <w:rFonts w:ascii="PT Astra Serif" w:hAnsi="PT Astra Serif" w:cs="Times New Roman"/>
          <w:b/>
          <w:bCs/>
          <w:i/>
          <w:iCs/>
          <w:sz w:val="28"/>
          <w:szCs w:val="24"/>
        </w:rPr>
        <w:t xml:space="preserve">Доходная часть бюджета </w:t>
      </w:r>
    </w:p>
    <w:p w:rsidR="007B6297" w:rsidRPr="004B0A4E" w:rsidRDefault="007B6297" w:rsidP="00675BE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Оценка социально-экономической ситуации в муниципальном образовании напрямую связана с реальным состоянием дел во всех сферах. Именно с помощью бюджета предоставляется возможность сосредотачивать финансовые ресурсы на экономическое развитие, с помощью бюджета происходит перераспределение дохода. За муниципальным образованием 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lastRenderedPageBreak/>
        <w:t>закреплены все вопросы, связанные с жизнеспособностью населения, которые требуют значительных финансовых и материальных ресурсов.</w:t>
      </w:r>
    </w:p>
    <w:p w:rsidR="00675BE7" w:rsidRPr="004B0A4E" w:rsidRDefault="00F35953" w:rsidP="00F34616">
      <w:pPr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>Доходы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="00675BE7" w:rsidRPr="004B0A4E">
        <w:rPr>
          <w:rFonts w:ascii="PT Astra Serif" w:hAnsi="PT Astra Serif" w:cs="Times New Roman"/>
          <w:sz w:val="28"/>
          <w:szCs w:val="24"/>
        </w:rPr>
        <w:t>консолидированного  бюджета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="00C016D0" w:rsidRPr="004B0A4E">
        <w:rPr>
          <w:rFonts w:ascii="PT Astra Serif" w:hAnsi="PT Astra Serif" w:cs="Times New Roman"/>
          <w:sz w:val="28"/>
          <w:szCs w:val="24"/>
        </w:rPr>
        <w:t>составили</w:t>
      </w:r>
      <w:r w:rsidRPr="004B0A4E">
        <w:rPr>
          <w:rFonts w:ascii="PT Astra Serif" w:hAnsi="PT Astra Serif" w:cs="Times New Roman"/>
          <w:sz w:val="28"/>
          <w:szCs w:val="24"/>
        </w:rPr>
        <w:t xml:space="preserve"> 952194,3 тыс. руб</w:t>
      </w:r>
      <w:r w:rsidR="00C016D0" w:rsidRPr="004B0A4E">
        <w:rPr>
          <w:rFonts w:ascii="PT Astra Serif" w:hAnsi="PT Astra Serif" w:cs="Times New Roman"/>
          <w:sz w:val="28"/>
          <w:szCs w:val="24"/>
        </w:rPr>
        <w:t>.</w:t>
      </w:r>
      <w:r w:rsidR="00675BE7" w:rsidRPr="004B0A4E">
        <w:rPr>
          <w:rFonts w:ascii="PT Astra Serif" w:hAnsi="PT Astra Serif" w:cs="Times New Roman"/>
          <w:sz w:val="28"/>
          <w:szCs w:val="24"/>
        </w:rPr>
        <w:t xml:space="preserve">,  что  </w:t>
      </w:r>
      <w:r w:rsidR="00C016D0" w:rsidRPr="004B0A4E">
        <w:rPr>
          <w:rFonts w:ascii="PT Astra Serif" w:hAnsi="PT Astra Serif" w:cs="Times New Roman"/>
          <w:sz w:val="28"/>
          <w:szCs w:val="24"/>
        </w:rPr>
        <w:t>на 17,5 % или 141806,6 тыс. руб. больше, чем в 2023 году</w:t>
      </w:r>
      <w:r w:rsidR="008768E6" w:rsidRPr="004B0A4E">
        <w:rPr>
          <w:rFonts w:ascii="PT Astra Serif" w:hAnsi="PT Astra Serif" w:cs="Times New Roman"/>
          <w:sz w:val="28"/>
          <w:szCs w:val="24"/>
        </w:rPr>
        <w:t>.</w:t>
      </w:r>
    </w:p>
    <w:p w:rsidR="007B6297" w:rsidRPr="004B0A4E" w:rsidRDefault="007B6297" w:rsidP="007B6297">
      <w:pPr>
        <w:ind w:right="-5" w:firstLine="708"/>
        <w:jc w:val="right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>Таблица 1</w:t>
      </w: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1134"/>
        <w:gridCol w:w="405"/>
        <w:gridCol w:w="729"/>
        <w:gridCol w:w="232"/>
        <w:gridCol w:w="619"/>
        <w:gridCol w:w="964"/>
        <w:gridCol w:w="28"/>
        <w:gridCol w:w="911"/>
        <w:gridCol w:w="223"/>
        <w:gridCol w:w="851"/>
        <w:gridCol w:w="930"/>
        <w:gridCol w:w="62"/>
        <w:gridCol w:w="992"/>
      </w:tblGrid>
      <w:tr w:rsidR="007B6297" w:rsidRPr="004B0A4E" w:rsidTr="0079182F">
        <w:trPr>
          <w:trHeight w:val="240"/>
        </w:trPr>
        <w:tc>
          <w:tcPr>
            <w:tcW w:w="10348" w:type="dxa"/>
            <w:gridSpan w:val="14"/>
            <w:noWrap/>
            <w:vAlign w:val="bottom"/>
          </w:tcPr>
          <w:p w:rsidR="007B6297" w:rsidRPr="004B0A4E" w:rsidRDefault="007B6297" w:rsidP="0079182F">
            <w:pPr>
              <w:pStyle w:val="6"/>
              <w:rPr>
                <w:rFonts w:ascii="PT Astra Serif" w:hAnsi="PT Astra Serif"/>
                <w:sz w:val="28"/>
              </w:rPr>
            </w:pPr>
            <w:r w:rsidRPr="004B0A4E">
              <w:rPr>
                <w:rFonts w:ascii="PT Astra Serif" w:hAnsi="PT Astra Serif"/>
                <w:sz w:val="28"/>
              </w:rPr>
              <w:t>Исполнение доходной части консолидированного бюджета МО "</w:t>
            </w:r>
            <w:proofErr w:type="spellStart"/>
            <w:r w:rsidRPr="004B0A4E">
              <w:rPr>
                <w:rFonts w:ascii="PT Astra Serif" w:hAnsi="PT Astra Serif"/>
                <w:sz w:val="28"/>
              </w:rPr>
              <w:t>Цильнинский</w:t>
            </w:r>
            <w:proofErr w:type="spellEnd"/>
            <w:r w:rsidRPr="004B0A4E">
              <w:rPr>
                <w:rFonts w:ascii="PT Astra Serif" w:hAnsi="PT Astra Serif"/>
                <w:sz w:val="28"/>
              </w:rPr>
              <w:t xml:space="preserve"> район"</w:t>
            </w:r>
          </w:p>
        </w:tc>
      </w:tr>
      <w:tr w:rsidR="007B6297" w:rsidRPr="004B0A4E" w:rsidTr="00005C5D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F3461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4B0A4E">
              <w:rPr>
                <w:rFonts w:ascii="PT Astra Serif" w:hAnsi="PT Astra Serif" w:cs="Times New Roman"/>
                <w:sz w:val="18"/>
                <w:szCs w:val="18"/>
              </w:rPr>
              <w:t>тыс.ру</w:t>
            </w:r>
            <w:r w:rsidR="00F34616" w:rsidRPr="004B0A4E">
              <w:rPr>
                <w:rFonts w:ascii="PT Astra Serif" w:hAnsi="PT Astra Serif" w:cs="Times New Roman"/>
                <w:sz w:val="18"/>
                <w:szCs w:val="18"/>
              </w:rPr>
              <w:t>б</w:t>
            </w:r>
            <w:r w:rsidRPr="004B0A4E">
              <w:rPr>
                <w:rFonts w:ascii="PT Astra Serif" w:hAnsi="PT Astra Serif" w:cs="Times New Roman"/>
                <w:sz w:val="18"/>
                <w:szCs w:val="18"/>
              </w:rPr>
              <w:t>.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B6297" w:rsidRPr="004B0A4E" w:rsidTr="00005C5D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4B0A4E" w:rsidRDefault="007B6297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Доходы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4B0A4E" w:rsidRDefault="007B6297" w:rsidP="00A501BC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491B26" w:rsidRPr="004B0A4E">
              <w:rPr>
                <w:rFonts w:ascii="PT Astra Serif" w:hAnsi="PT Astra Serif" w:cs="Times New Roman"/>
                <w:sz w:val="20"/>
                <w:szCs w:val="20"/>
              </w:rPr>
              <w:t>23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4B0A4E" w:rsidRDefault="00E2707C" w:rsidP="00491B2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491B26" w:rsidRPr="004B0A4E">
              <w:rPr>
                <w:rFonts w:ascii="PT Astra Serif" w:hAnsi="PT Astra Serif" w:cs="Times New Roman"/>
                <w:sz w:val="20"/>
                <w:szCs w:val="20"/>
              </w:rPr>
              <w:t>4</w:t>
            </w:r>
            <w:r w:rsidR="007B6297"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97" w:rsidRPr="004B0A4E" w:rsidRDefault="007B6297" w:rsidP="009B1501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Отклонения факт </w:t>
            </w:r>
            <w:r w:rsidR="00E2707C" w:rsidRPr="004B0A4E">
              <w:rPr>
                <w:rFonts w:ascii="PT Astra Serif" w:hAnsi="PT Astra Serif" w:cs="Times New Roman"/>
                <w:sz w:val="20"/>
                <w:szCs w:val="20"/>
              </w:rPr>
              <w:t>202</w:t>
            </w:r>
            <w:r w:rsidR="009B1501"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4 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г.к факту 20</w:t>
            </w:r>
            <w:r w:rsidR="00A501BC" w:rsidRPr="004B0A4E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9B1501" w:rsidRPr="004B0A4E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</w:tr>
      <w:tr w:rsidR="00491B26" w:rsidRPr="004B0A4E" w:rsidTr="00005C5D">
        <w:trPr>
          <w:cantSplit/>
          <w:trHeight w:val="2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491B2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491B2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491B26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+,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26" w:rsidRPr="004B0A4E" w:rsidRDefault="00491B26" w:rsidP="0079182F">
            <w:pPr>
              <w:autoSpaceDN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Всего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815872,9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810387,7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2A1FA1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7F56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961304,1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952194,3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7F56F5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141806,6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117,5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163116,0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163868,7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2A1FA1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180195,2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182565,3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18696,6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111,4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143811,5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144688,3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A33C84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152653,6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158879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14190,7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109,8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19304,5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19180,4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A33C84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27541,6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23686,3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4505,9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123,5</w:t>
            </w:r>
          </w:p>
        </w:tc>
      </w:tr>
      <w:tr w:rsidR="003D1488" w:rsidRPr="004B0A4E" w:rsidTr="00005C5D">
        <w:trPr>
          <w:cantSplit/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в т.ч.доходы 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6570,2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A33C84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6919,3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6709,9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Безвозмездные поступления из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652756,9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646519,0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A33C84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781108,9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769629</w:t>
            </w:r>
            <w:r w:rsidR="007F56F5"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119,0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213135,8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213135,8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193116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193116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-20019,8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114900,8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111688,0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711732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163479,6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163302,9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51614,9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146,2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autoSpaceDN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296736,2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296174,3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711732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358000,7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355450,8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59276,5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21904,2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21889,0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711732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65189,8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65174,6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43285,6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9B150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в 3 раза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6079,9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5148,1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711732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1322,8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1208,4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-3939,7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3D1488" w:rsidRPr="004B0A4E" w:rsidTr="00005C5D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488" w:rsidRPr="004B0A4E" w:rsidRDefault="003D1488" w:rsidP="0079182F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Возврат остатков субсидий и субвенций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-1516,2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4B0A4E" w:rsidRDefault="003D1488" w:rsidP="00491B26">
            <w:pPr>
              <w:jc w:val="center"/>
              <w:rPr>
                <w:rFonts w:ascii="PT Astra Serif" w:hAnsi="PT Astra Serif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color w:val="000000"/>
                <w:sz w:val="20"/>
                <w:szCs w:val="20"/>
              </w:rPr>
              <w:t>-8623,7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3D148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-7107,5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488" w:rsidRPr="00C91CDB" w:rsidRDefault="009B150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C91CDB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в 5,7 раза</w:t>
            </w:r>
          </w:p>
        </w:tc>
      </w:tr>
    </w:tbl>
    <w:p w:rsidR="0079182F" w:rsidRPr="004B0A4E" w:rsidRDefault="0079182F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EF6D14" w:rsidRPr="004B0A4E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Рост поступлений за </w:t>
      </w:r>
      <w:r w:rsidR="00E2707C" w:rsidRPr="004B0A4E">
        <w:rPr>
          <w:rFonts w:ascii="PT Astra Serif" w:hAnsi="PT Astra Serif" w:cs="Times New Roman"/>
          <w:sz w:val="28"/>
          <w:szCs w:val="24"/>
        </w:rPr>
        <w:t>202</w:t>
      </w:r>
      <w:r w:rsidR="007F1C1D" w:rsidRPr="004B0A4E">
        <w:rPr>
          <w:rFonts w:ascii="PT Astra Serif" w:hAnsi="PT Astra Serif" w:cs="Times New Roman"/>
          <w:sz w:val="28"/>
          <w:szCs w:val="24"/>
        </w:rPr>
        <w:t>4</w:t>
      </w:r>
      <w:r w:rsidRPr="004B0A4E">
        <w:rPr>
          <w:rFonts w:ascii="PT Astra Serif" w:hAnsi="PT Astra Serif" w:cs="Times New Roman"/>
          <w:sz w:val="28"/>
          <w:szCs w:val="24"/>
        </w:rPr>
        <w:t xml:space="preserve"> год в сравнении с аналогичным периодом прошлого года произош</w:t>
      </w:r>
      <w:r w:rsidR="007F1C1D" w:rsidRPr="004B0A4E">
        <w:rPr>
          <w:rFonts w:ascii="PT Astra Serif" w:hAnsi="PT Astra Serif" w:cs="Times New Roman"/>
          <w:sz w:val="28"/>
          <w:szCs w:val="24"/>
        </w:rPr>
        <w:t>ел</w:t>
      </w:r>
      <w:r w:rsidRPr="004B0A4E">
        <w:rPr>
          <w:rFonts w:ascii="PT Astra Serif" w:hAnsi="PT Astra Serif" w:cs="Times New Roman"/>
          <w:sz w:val="28"/>
          <w:szCs w:val="24"/>
        </w:rPr>
        <w:t xml:space="preserve"> за счет роста таких доходных источников, как:</w:t>
      </w:r>
    </w:p>
    <w:p w:rsidR="00EF6D14" w:rsidRPr="004B0A4E" w:rsidRDefault="00EF6D14" w:rsidP="00457825">
      <w:pPr>
        <w:pStyle w:val="2"/>
        <w:spacing w:after="0" w:line="276" w:lineRule="auto"/>
        <w:ind w:firstLine="709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 </w:t>
      </w:r>
      <w:r w:rsidRPr="004B0A4E">
        <w:rPr>
          <w:rFonts w:ascii="PT Astra Serif" w:hAnsi="PT Astra Serif"/>
          <w:b/>
          <w:sz w:val="28"/>
        </w:rPr>
        <w:t>налог на доходы физических лиц</w:t>
      </w:r>
      <w:r w:rsidRPr="004B0A4E">
        <w:rPr>
          <w:rFonts w:ascii="PT Astra Serif" w:hAnsi="PT Astra Serif"/>
          <w:sz w:val="28"/>
        </w:rPr>
        <w:t xml:space="preserve"> на </w:t>
      </w:r>
      <w:r w:rsidR="00C5098F" w:rsidRPr="004B0A4E">
        <w:rPr>
          <w:rFonts w:ascii="PT Astra Serif" w:hAnsi="PT Astra Serif"/>
          <w:bCs/>
          <w:color w:val="000000"/>
          <w:sz w:val="28"/>
        </w:rPr>
        <w:t xml:space="preserve">13218,2 </w:t>
      </w:r>
      <w:r w:rsidRPr="004B0A4E">
        <w:rPr>
          <w:rFonts w:ascii="PT Astra Serif" w:hAnsi="PT Astra Serif"/>
          <w:sz w:val="28"/>
        </w:rPr>
        <w:t>тыс.</w:t>
      </w:r>
      <w:r w:rsidR="00C91CDB">
        <w:rPr>
          <w:rFonts w:ascii="PT Astra Serif" w:hAnsi="PT Astra Serif"/>
          <w:sz w:val="28"/>
        </w:rPr>
        <w:t xml:space="preserve"> </w:t>
      </w:r>
      <w:r w:rsidRPr="004B0A4E">
        <w:rPr>
          <w:rFonts w:ascii="PT Astra Serif" w:hAnsi="PT Astra Serif"/>
          <w:sz w:val="28"/>
        </w:rPr>
        <w:t xml:space="preserve">рублей или на </w:t>
      </w:r>
      <w:r w:rsidR="00C5098F" w:rsidRPr="004B0A4E">
        <w:rPr>
          <w:rFonts w:ascii="PT Astra Serif" w:hAnsi="PT Astra Serif"/>
          <w:sz w:val="28"/>
        </w:rPr>
        <w:t>17,7</w:t>
      </w:r>
      <w:r w:rsidRPr="004B0A4E">
        <w:rPr>
          <w:rFonts w:ascii="PT Astra Serif" w:hAnsi="PT Astra Serif"/>
          <w:sz w:val="28"/>
        </w:rPr>
        <w:t xml:space="preserve"> % выше уровня прошлого года;</w:t>
      </w:r>
    </w:p>
    <w:p w:rsidR="005676DF" w:rsidRPr="004B0A4E" w:rsidRDefault="005676DF" w:rsidP="005676D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>акцизы на нефтепродукты</w:t>
      </w:r>
      <w:r w:rsidRPr="004B0A4E">
        <w:rPr>
          <w:rFonts w:ascii="PT Astra Serif" w:hAnsi="PT Astra Serif" w:cs="Times New Roman"/>
          <w:sz w:val="28"/>
          <w:szCs w:val="24"/>
        </w:rPr>
        <w:t xml:space="preserve"> на </w:t>
      </w:r>
      <w:r w:rsidR="00C5098F" w:rsidRPr="004B0A4E">
        <w:rPr>
          <w:rFonts w:ascii="PT Astra Serif" w:hAnsi="PT Astra Serif" w:cs="Times New Roman"/>
          <w:sz w:val="28"/>
          <w:szCs w:val="24"/>
        </w:rPr>
        <w:t>890,8</w:t>
      </w:r>
      <w:r w:rsidRPr="004B0A4E">
        <w:rPr>
          <w:rFonts w:ascii="PT Astra Serif" w:hAnsi="PT Astra Serif" w:cs="Times New Roman"/>
          <w:sz w:val="28"/>
          <w:szCs w:val="24"/>
        </w:rPr>
        <w:t xml:space="preserve"> тыс. рублей или на </w:t>
      </w:r>
      <w:r w:rsidR="00C5098F" w:rsidRPr="004B0A4E">
        <w:rPr>
          <w:rFonts w:ascii="PT Astra Serif" w:hAnsi="PT Astra Serif" w:cs="Times New Roman"/>
          <w:sz w:val="28"/>
          <w:szCs w:val="24"/>
        </w:rPr>
        <w:t>5,0</w:t>
      </w:r>
      <w:r w:rsidRPr="004B0A4E">
        <w:rPr>
          <w:rFonts w:ascii="PT Astra Serif" w:hAnsi="PT Astra Serif" w:cs="Times New Roman"/>
          <w:sz w:val="28"/>
          <w:szCs w:val="24"/>
        </w:rPr>
        <w:t xml:space="preserve">% </w:t>
      </w:r>
      <w:r w:rsidR="0060701C" w:rsidRPr="004B0A4E">
        <w:rPr>
          <w:rFonts w:ascii="PT Astra Serif" w:hAnsi="PT Astra Serif" w:cs="Times New Roman"/>
          <w:sz w:val="28"/>
          <w:szCs w:val="24"/>
        </w:rPr>
        <w:t>выше</w:t>
      </w:r>
      <w:r w:rsidRPr="004B0A4E">
        <w:rPr>
          <w:rFonts w:ascii="PT Astra Serif" w:hAnsi="PT Astra Serif" w:cs="Times New Roman"/>
          <w:sz w:val="28"/>
          <w:szCs w:val="24"/>
        </w:rPr>
        <w:t xml:space="preserve"> уровня прошлого года;</w:t>
      </w:r>
    </w:p>
    <w:p w:rsidR="00C5098F" w:rsidRPr="004B0A4E" w:rsidRDefault="00C5098F" w:rsidP="005676D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lastRenderedPageBreak/>
        <w:t xml:space="preserve">- </w:t>
      </w:r>
      <w:proofErr w:type="gramStart"/>
      <w:r w:rsidR="002A63AD" w:rsidRPr="004B0A4E">
        <w:rPr>
          <w:rFonts w:ascii="PT Astra Serif" w:hAnsi="PT Astra Serif" w:cs="Times New Roman"/>
          <w:b/>
          <w:sz w:val="28"/>
          <w:szCs w:val="24"/>
        </w:rPr>
        <w:t>налог</w:t>
      </w:r>
      <w:proofErr w:type="gramEnd"/>
      <w:r w:rsidR="002A63AD" w:rsidRPr="004B0A4E">
        <w:rPr>
          <w:rFonts w:ascii="PT Astra Serif" w:hAnsi="PT Astra Serif" w:cs="Times New Roman"/>
          <w:b/>
          <w:sz w:val="28"/>
          <w:szCs w:val="24"/>
        </w:rPr>
        <w:t> </w:t>
      </w:r>
      <w:r w:rsidRPr="004B0A4E">
        <w:rPr>
          <w:rFonts w:ascii="PT Astra Serif" w:hAnsi="PT Astra Serif" w:cs="Times New Roman"/>
          <w:b/>
          <w:sz w:val="28"/>
          <w:szCs w:val="24"/>
        </w:rPr>
        <w:t>взимаемый в связи с применением патентной системы налогообложения</w:t>
      </w:r>
      <w:r w:rsidRPr="004B0A4E">
        <w:rPr>
          <w:rFonts w:ascii="PT Astra Serif" w:hAnsi="PT Astra Serif" w:cs="Times New Roman"/>
          <w:sz w:val="28"/>
          <w:szCs w:val="24"/>
        </w:rPr>
        <w:t xml:space="preserve"> на 1463,3 тыс.</w:t>
      </w:r>
      <w:r w:rsidR="00534F06">
        <w:rPr>
          <w:rFonts w:ascii="PT Astra Serif" w:hAnsi="PT Astra Serif" w:cs="Times New Roman"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 xml:space="preserve">руб. или в </w:t>
      </w:r>
      <w:r w:rsidR="00164E5D" w:rsidRPr="004B0A4E">
        <w:rPr>
          <w:rFonts w:ascii="PT Astra Serif" w:hAnsi="PT Astra Serif" w:cs="Times New Roman"/>
          <w:sz w:val="28"/>
          <w:szCs w:val="24"/>
        </w:rPr>
        <w:t>35 раз  выше</w:t>
      </w:r>
      <w:r w:rsidRPr="004B0A4E">
        <w:rPr>
          <w:rFonts w:ascii="PT Astra Serif" w:hAnsi="PT Astra Serif" w:cs="Times New Roman"/>
          <w:sz w:val="28"/>
          <w:szCs w:val="24"/>
        </w:rPr>
        <w:t xml:space="preserve"> уровня прошлого года;</w:t>
      </w:r>
    </w:p>
    <w:p w:rsidR="00A96EC0" w:rsidRPr="004B0A4E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>налог на имущество физических лиц</w:t>
      </w:r>
      <w:r w:rsidRPr="004B0A4E">
        <w:rPr>
          <w:rFonts w:ascii="PT Astra Serif" w:hAnsi="PT Astra Serif" w:cs="Times New Roman"/>
          <w:sz w:val="28"/>
          <w:szCs w:val="24"/>
        </w:rPr>
        <w:t xml:space="preserve"> на </w:t>
      </w:r>
      <w:r w:rsidR="00164E5D" w:rsidRPr="004B0A4E">
        <w:rPr>
          <w:rFonts w:ascii="PT Astra Serif" w:hAnsi="PT Astra Serif" w:cs="Times New Roman"/>
          <w:sz w:val="28"/>
          <w:szCs w:val="24"/>
        </w:rPr>
        <w:t xml:space="preserve">490,7 </w:t>
      </w:r>
      <w:r w:rsidRPr="004B0A4E">
        <w:rPr>
          <w:rFonts w:ascii="PT Astra Serif" w:hAnsi="PT Astra Serif" w:cs="Times New Roman"/>
          <w:sz w:val="28"/>
          <w:szCs w:val="24"/>
        </w:rPr>
        <w:t>тыс.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 xml:space="preserve">руб. или  </w:t>
      </w:r>
      <w:r w:rsidR="008A6A73" w:rsidRPr="004B0A4E">
        <w:rPr>
          <w:rFonts w:ascii="PT Astra Serif" w:hAnsi="PT Astra Serif" w:cs="Times New Roman"/>
          <w:sz w:val="28"/>
          <w:szCs w:val="24"/>
        </w:rPr>
        <w:t>на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="00164E5D" w:rsidRPr="004B0A4E">
        <w:rPr>
          <w:rFonts w:ascii="PT Astra Serif" w:hAnsi="PT Astra Serif" w:cs="Times New Roman"/>
          <w:sz w:val="28"/>
          <w:szCs w:val="24"/>
        </w:rPr>
        <w:t>15</w:t>
      </w:r>
      <w:r w:rsidR="008A6A73" w:rsidRPr="004B0A4E">
        <w:rPr>
          <w:rFonts w:ascii="PT Astra Serif" w:hAnsi="PT Astra Serif" w:cs="Times New Roman"/>
          <w:sz w:val="28"/>
          <w:szCs w:val="24"/>
        </w:rPr>
        <w:t>,1%</w:t>
      </w:r>
      <w:r w:rsidRPr="004B0A4E">
        <w:rPr>
          <w:rFonts w:ascii="PT Astra Serif" w:hAnsi="PT Astra Serif" w:cs="Times New Roman"/>
          <w:sz w:val="28"/>
          <w:szCs w:val="24"/>
        </w:rPr>
        <w:t xml:space="preserve"> выше уровня прошлого года;</w:t>
      </w:r>
    </w:p>
    <w:p w:rsidR="00164E5D" w:rsidRPr="004B0A4E" w:rsidRDefault="00164E5D" w:rsidP="00A96EC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 xml:space="preserve">земельный налог </w:t>
      </w:r>
      <w:r w:rsidRPr="004B0A4E">
        <w:rPr>
          <w:rFonts w:ascii="PT Astra Serif" w:hAnsi="PT Astra Serif" w:cs="Times New Roman"/>
          <w:sz w:val="28"/>
          <w:szCs w:val="24"/>
        </w:rPr>
        <w:t>на 2461,5 тыс. рублей или на 11,2%  выше уровня прошлого года;</w:t>
      </w:r>
    </w:p>
    <w:p w:rsidR="00D716AE" w:rsidRPr="004B0A4E" w:rsidRDefault="00D716AE" w:rsidP="00A96EC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 xml:space="preserve">госпошлина </w:t>
      </w:r>
      <w:r w:rsidRPr="004B0A4E">
        <w:rPr>
          <w:rFonts w:ascii="PT Astra Serif" w:hAnsi="PT Astra Serif" w:cs="Times New Roman"/>
          <w:sz w:val="28"/>
          <w:szCs w:val="24"/>
        </w:rPr>
        <w:t>на 1399,6 тыс.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>рублей или в 1,8 раза выше уровня прошлого года;</w:t>
      </w:r>
    </w:p>
    <w:p w:rsidR="00A96EC0" w:rsidRPr="004B0A4E" w:rsidRDefault="00A96EC0" w:rsidP="00A96EC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>доходы от использования муниципального имущества (аренда земли и аренда имущества)</w:t>
      </w:r>
      <w:r w:rsidR="00797C79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>на</w:t>
      </w:r>
      <w:r w:rsidR="00D716AE" w:rsidRPr="004B0A4E">
        <w:rPr>
          <w:rFonts w:ascii="PT Astra Serif" w:hAnsi="PT Astra Serif" w:cs="Times New Roman"/>
          <w:sz w:val="28"/>
          <w:szCs w:val="24"/>
        </w:rPr>
        <w:t xml:space="preserve"> 2617,7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>тыс</w:t>
      </w:r>
      <w:proofErr w:type="gramStart"/>
      <w:r w:rsidRPr="004B0A4E">
        <w:rPr>
          <w:rFonts w:ascii="PT Astra Serif" w:hAnsi="PT Astra Serif" w:cs="Times New Roman"/>
          <w:sz w:val="28"/>
          <w:szCs w:val="24"/>
        </w:rPr>
        <w:t>.р</w:t>
      </w:r>
      <w:proofErr w:type="gramEnd"/>
      <w:r w:rsidRPr="004B0A4E">
        <w:rPr>
          <w:rFonts w:ascii="PT Astra Serif" w:hAnsi="PT Astra Serif" w:cs="Times New Roman"/>
          <w:sz w:val="28"/>
          <w:szCs w:val="24"/>
        </w:rPr>
        <w:t>ублей или</w:t>
      </w:r>
      <w:r w:rsidR="003A22B6" w:rsidRPr="004B0A4E">
        <w:rPr>
          <w:rFonts w:ascii="PT Astra Serif" w:hAnsi="PT Astra Serif" w:cs="Times New Roman"/>
          <w:sz w:val="28"/>
          <w:szCs w:val="24"/>
        </w:rPr>
        <w:t xml:space="preserve"> в</w:t>
      </w:r>
      <w:r w:rsidR="00F65720" w:rsidRPr="004B0A4E">
        <w:rPr>
          <w:rFonts w:ascii="PT Astra Serif" w:hAnsi="PT Astra Serif" w:cs="Times New Roman"/>
          <w:sz w:val="28"/>
          <w:szCs w:val="24"/>
        </w:rPr>
        <w:t>1,5 раза</w:t>
      </w:r>
      <w:r w:rsidR="00797C79">
        <w:rPr>
          <w:rFonts w:ascii="PT Astra Serif" w:hAnsi="PT Astra Serif" w:cs="Times New Roman"/>
          <w:sz w:val="28"/>
          <w:szCs w:val="24"/>
        </w:rPr>
        <w:t xml:space="preserve"> </w:t>
      </w:r>
      <w:r w:rsidR="0060701C" w:rsidRPr="004B0A4E">
        <w:rPr>
          <w:rFonts w:ascii="PT Astra Serif" w:hAnsi="PT Astra Serif" w:cs="Times New Roman"/>
          <w:sz w:val="28"/>
          <w:szCs w:val="24"/>
        </w:rPr>
        <w:t>выше</w:t>
      </w:r>
      <w:r w:rsidRPr="004B0A4E">
        <w:rPr>
          <w:rFonts w:ascii="PT Astra Serif" w:hAnsi="PT Astra Serif" w:cs="Times New Roman"/>
          <w:sz w:val="28"/>
          <w:szCs w:val="24"/>
        </w:rPr>
        <w:t xml:space="preserve"> уровня прошлого года;</w:t>
      </w:r>
    </w:p>
    <w:p w:rsidR="00F65720" w:rsidRPr="004B0A4E" w:rsidRDefault="00F65720" w:rsidP="00F65720">
      <w:pPr>
        <w:pStyle w:val="2"/>
        <w:spacing w:after="0" w:line="276" w:lineRule="auto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b/>
          <w:sz w:val="28"/>
        </w:rPr>
        <w:t xml:space="preserve">- доходов от оказания платных услуг </w:t>
      </w:r>
      <w:r w:rsidRPr="004B0A4E">
        <w:rPr>
          <w:rFonts w:ascii="PT Astra Serif" w:hAnsi="PT Astra Serif"/>
          <w:sz w:val="28"/>
        </w:rPr>
        <w:t>на 139,7 тыс. рублей или на 2,1 % выше уровня прошлого года;</w:t>
      </w:r>
    </w:p>
    <w:p w:rsidR="00F65720" w:rsidRPr="004B0A4E" w:rsidRDefault="00F65720" w:rsidP="00F6572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b/>
          <w:sz w:val="28"/>
          <w:szCs w:val="24"/>
        </w:rPr>
        <w:t xml:space="preserve">- доходы от продажи материальных и нематериальных активов </w:t>
      </w:r>
      <w:r w:rsidRPr="004B0A4E">
        <w:rPr>
          <w:rFonts w:ascii="PT Astra Serif" w:hAnsi="PT Astra Serif" w:cs="Times New Roman"/>
          <w:sz w:val="28"/>
          <w:szCs w:val="24"/>
        </w:rPr>
        <w:t xml:space="preserve">на </w:t>
      </w:r>
      <w:r w:rsidR="003A22B6" w:rsidRPr="004B0A4E">
        <w:rPr>
          <w:rFonts w:ascii="PT Astra Serif" w:hAnsi="PT Astra Serif" w:cs="Times New Roman"/>
          <w:sz w:val="28"/>
          <w:szCs w:val="24"/>
        </w:rPr>
        <w:t xml:space="preserve">716,1 </w:t>
      </w:r>
      <w:r w:rsidRPr="004B0A4E">
        <w:rPr>
          <w:rFonts w:ascii="PT Astra Serif" w:hAnsi="PT Astra Serif" w:cs="Times New Roman"/>
          <w:sz w:val="28"/>
          <w:szCs w:val="24"/>
        </w:rPr>
        <w:t>тыс</w:t>
      </w:r>
      <w:proofErr w:type="gramStart"/>
      <w:r w:rsidRPr="004B0A4E">
        <w:rPr>
          <w:rFonts w:ascii="PT Astra Serif" w:hAnsi="PT Astra Serif" w:cs="Times New Roman"/>
          <w:sz w:val="28"/>
          <w:szCs w:val="24"/>
        </w:rPr>
        <w:t>.р</w:t>
      </w:r>
      <w:proofErr w:type="gramEnd"/>
      <w:r w:rsidRPr="004B0A4E">
        <w:rPr>
          <w:rFonts w:ascii="PT Astra Serif" w:hAnsi="PT Astra Serif" w:cs="Times New Roman"/>
          <w:sz w:val="28"/>
          <w:szCs w:val="24"/>
        </w:rPr>
        <w:t xml:space="preserve">ублей или </w:t>
      </w:r>
      <w:r w:rsidR="003A22B6" w:rsidRPr="004B0A4E">
        <w:rPr>
          <w:rFonts w:ascii="PT Astra Serif" w:hAnsi="PT Astra Serif" w:cs="Times New Roman"/>
          <w:sz w:val="28"/>
          <w:szCs w:val="24"/>
        </w:rPr>
        <w:t>на 14,5%</w:t>
      </w:r>
      <w:r w:rsidR="00846E14">
        <w:rPr>
          <w:rFonts w:ascii="PT Astra Serif" w:hAnsi="PT Astra Serif" w:cs="Times New Roman"/>
          <w:sz w:val="28"/>
          <w:szCs w:val="24"/>
        </w:rPr>
        <w:t xml:space="preserve"> </w:t>
      </w:r>
      <w:r w:rsidR="003A22B6" w:rsidRPr="004B0A4E">
        <w:rPr>
          <w:rFonts w:ascii="PT Astra Serif" w:hAnsi="PT Astra Serif" w:cs="Times New Roman"/>
          <w:sz w:val="28"/>
          <w:szCs w:val="24"/>
        </w:rPr>
        <w:t>выше</w:t>
      </w:r>
      <w:r w:rsidRPr="004B0A4E">
        <w:rPr>
          <w:rFonts w:ascii="PT Astra Serif" w:hAnsi="PT Astra Serif" w:cs="Times New Roman"/>
          <w:sz w:val="28"/>
          <w:szCs w:val="24"/>
        </w:rPr>
        <w:t xml:space="preserve"> уровня прошлого года;</w:t>
      </w:r>
    </w:p>
    <w:p w:rsidR="00A96A43" w:rsidRPr="004B0A4E" w:rsidRDefault="00A96A43" w:rsidP="00A96A4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b/>
          <w:sz w:val="28"/>
          <w:szCs w:val="24"/>
        </w:rPr>
        <w:t xml:space="preserve">- штрафы </w:t>
      </w:r>
      <w:r w:rsidRPr="004B0A4E">
        <w:rPr>
          <w:rFonts w:ascii="PT Astra Serif" w:hAnsi="PT Astra Serif" w:cs="Times New Roman"/>
          <w:sz w:val="28"/>
          <w:szCs w:val="24"/>
        </w:rPr>
        <w:t>на 417,6 тыс. рублей или в 1,7 раза выше уровня прошлого года;</w:t>
      </w:r>
    </w:p>
    <w:p w:rsidR="00F65720" w:rsidRPr="004B0A4E" w:rsidRDefault="00A96A43" w:rsidP="006D5F84">
      <w:pPr>
        <w:spacing w:after="0"/>
        <w:ind w:firstLine="709"/>
        <w:jc w:val="both"/>
        <w:rPr>
          <w:rFonts w:ascii="PT Astra Serif" w:hAnsi="PT Astra Serif"/>
          <w:sz w:val="24"/>
        </w:rPr>
      </w:pPr>
      <w:r w:rsidRPr="004B0A4E">
        <w:rPr>
          <w:rFonts w:ascii="PT Astra Serif" w:hAnsi="PT Astra Serif" w:cs="Times New Roman"/>
          <w:b/>
          <w:sz w:val="28"/>
          <w:szCs w:val="24"/>
        </w:rPr>
        <w:t xml:space="preserve">- прочие неналоговые доходы </w:t>
      </w:r>
      <w:r w:rsidRPr="004B0A4E">
        <w:rPr>
          <w:rFonts w:ascii="PT Astra Serif" w:hAnsi="PT Astra Serif" w:cs="Times New Roman"/>
          <w:sz w:val="28"/>
          <w:szCs w:val="24"/>
        </w:rPr>
        <w:t>на 704,4 тыс. рублей или в</w:t>
      </w:r>
      <w:r w:rsidR="006D5F84" w:rsidRPr="004B0A4E">
        <w:rPr>
          <w:rFonts w:ascii="PT Astra Serif" w:hAnsi="PT Astra Serif" w:cs="Times New Roman"/>
          <w:sz w:val="28"/>
          <w:szCs w:val="24"/>
        </w:rPr>
        <w:t xml:space="preserve"> 1,5</w:t>
      </w:r>
      <w:r w:rsidRPr="004B0A4E">
        <w:rPr>
          <w:rFonts w:ascii="PT Astra Serif" w:hAnsi="PT Astra Serif" w:cs="Times New Roman"/>
          <w:sz w:val="28"/>
          <w:szCs w:val="24"/>
        </w:rPr>
        <w:t xml:space="preserve"> раза выше уровня прошлого года.</w:t>
      </w:r>
    </w:p>
    <w:p w:rsidR="00F65720" w:rsidRPr="004B0A4E" w:rsidRDefault="00F65720" w:rsidP="00A96EC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</w:p>
    <w:p w:rsidR="00EF6D14" w:rsidRPr="004B0A4E" w:rsidRDefault="00EF6D14" w:rsidP="00260946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Снижение поступлений по собственным доходам за </w:t>
      </w:r>
      <w:r w:rsidR="00E2707C" w:rsidRPr="004B0A4E">
        <w:rPr>
          <w:rFonts w:ascii="PT Astra Serif" w:hAnsi="PT Astra Serif" w:cs="Times New Roman"/>
          <w:sz w:val="28"/>
          <w:szCs w:val="24"/>
        </w:rPr>
        <w:t>202</w:t>
      </w:r>
      <w:r w:rsidR="00846E14">
        <w:rPr>
          <w:rFonts w:ascii="PT Astra Serif" w:hAnsi="PT Astra Serif" w:cs="Times New Roman"/>
          <w:sz w:val="28"/>
          <w:szCs w:val="24"/>
        </w:rPr>
        <w:t>4</w:t>
      </w:r>
      <w:r w:rsidRPr="004B0A4E">
        <w:rPr>
          <w:rFonts w:ascii="PT Astra Serif" w:hAnsi="PT Astra Serif" w:cs="Times New Roman"/>
          <w:sz w:val="28"/>
          <w:szCs w:val="24"/>
        </w:rPr>
        <w:t xml:space="preserve"> год в сравнении с аналогичным периодом 20</w:t>
      </w:r>
      <w:r w:rsidR="0089329A" w:rsidRPr="004B0A4E">
        <w:rPr>
          <w:rFonts w:ascii="PT Astra Serif" w:hAnsi="PT Astra Serif" w:cs="Times New Roman"/>
          <w:sz w:val="28"/>
          <w:szCs w:val="24"/>
        </w:rPr>
        <w:t>2</w:t>
      </w:r>
      <w:r w:rsidR="00846E14">
        <w:rPr>
          <w:rFonts w:ascii="PT Astra Serif" w:hAnsi="PT Astra Serif" w:cs="Times New Roman"/>
          <w:sz w:val="28"/>
          <w:szCs w:val="24"/>
        </w:rPr>
        <w:t>3</w:t>
      </w:r>
      <w:r w:rsidRPr="004B0A4E">
        <w:rPr>
          <w:rFonts w:ascii="PT Astra Serif" w:hAnsi="PT Astra Serif" w:cs="Times New Roman"/>
          <w:sz w:val="28"/>
          <w:szCs w:val="24"/>
        </w:rPr>
        <w:t xml:space="preserve"> года произошло</w:t>
      </w:r>
      <w:r w:rsidR="00BA6C0E" w:rsidRPr="004B0A4E">
        <w:rPr>
          <w:rFonts w:ascii="PT Astra Serif" w:hAnsi="PT Astra Serif" w:cs="Times New Roman"/>
          <w:sz w:val="28"/>
          <w:szCs w:val="24"/>
        </w:rPr>
        <w:t xml:space="preserve"> по следующим </w:t>
      </w:r>
      <w:r w:rsidRPr="004B0A4E">
        <w:rPr>
          <w:rFonts w:ascii="PT Astra Serif" w:hAnsi="PT Astra Serif" w:cs="Times New Roman"/>
          <w:sz w:val="28"/>
          <w:szCs w:val="24"/>
        </w:rPr>
        <w:t xml:space="preserve"> доходным источникам:</w:t>
      </w:r>
    </w:p>
    <w:p w:rsidR="00C97ED9" w:rsidRPr="004B0A4E" w:rsidRDefault="00C97ED9" w:rsidP="00C97ED9">
      <w:pPr>
        <w:pStyle w:val="2"/>
        <w:spacing w:after="0" w:line="276" w:lineRule="auto"/>
        <w:ind w:firstLine="709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 </w:t>
      </w:r>
      <w:r w:rsidR="006D5F84" w:rsidRPr="004B0A4E">
        <w:rPr>
          <w:rFonts w:ascii="PT Astra Serif" w:hAnsi="PT Astra Serif"/>
          <w:b/>
          <w:sz w:val="28"/>
        </w:rPr>
        <w:t>упрощённая система налогообложения</w:t>
      </w:r>
      <w:r w:rsidRPr="004B0A4E">
        <w:rPr>
          <w:rFonts w:ascii="PT Astra Serif" w:hAnsi="PT Astra Serif"/>
          <w:sz w:val="28"/>
        </w:rPr>
        <w:t xml:space="preserve">на </w:t>
      </w:r>
      <w:r w:rsidR="006D5F84" w:rsidRPr="004B0A4E">
        <w:rPr>
          <w:rFonts w:ascii="PT Astra Serif" w:hAnsi="PT Astra Serif"/>
          <w:sz w:val="28"/>
        </w:rPr>
        <w:t xml:space="preserve">3857,8 </w:t>
      </w:r>
      <w:r w:rsidRPr="004B0A4E">
        <w:rPr>
          <w:rFonts w:ascii="PT Astra Serif" w:hAnsi="PT Astra Serif"/>
          <w:sz w:val="28"/>
        </w:rPr>
        <w:t xml:space="preserve">тыс.рублей или на </w:t>
      </w:r>
      <w:r w:rsidR="006D5F84" w:rsidRPr="004B0A4E">
        <w:rPr>
          <w:rFonts w:ascii="PT Astra Serif" w:hAnsi="PT Astra Serif"/>
          <w:sz w:val="28"/>
        </w:rPr>
        <w:t>20,9</w:t>
      </w:r>
      <w:r w:rsidRPr="004B0A4E">
        <w:rPr>
          <w:rFonts w:ascii="PT Astra Serif" w:hAnsi="PT Astra Serif"/>
          <w:sz w:val="28"/>
        </w:rPr>
        <w:t xml:space="preserve">% </w:t>
      </w:r>
      <w:r w:rsidR="00BA6C0E" w:rsidRPr="004B0A4E">
        <w:rPr>
          <w:rFonts w:ascii="PT Astra Serif" w:hAnsi="PT Astra Serif"/>
          <w:sz w:val="28"/>
        </w:rPr>
        <w:t>ниже</w:t>
      </w:r>
      <w:r w:rsidRPr="004B0A4E">
        <w:rPr>
          <w:rFonts w:ascii="PT Astra Serif" w:hAnsi="PT Astra Serif"/>
          <w:sz w:val="28"/>
        </w:rPr>
        <w:t xml:space="preserve"> уровня прошлого года;</w:t>
      </w:r>
    </w:p>
    <w:p w:rsidR="00EF6D14" w:rsidRPr="004B0A4E" w:rsidRDefault="00EF6D14" w:rsidP="00457825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 xml:space="preserve">- </w:t>
      </w:r>
      <w:r w:rsidRPr="004B0A4E">
        <w:rPr>
          <w:rFonts w:ascii="PT Astra Serif" w:hAnsi="PT Astra Serif" w:cs="Times New Roman"/>
          <w:b/>
          <w:sz w:val="28"/>
          <w:szCs w:val="24"/>
        </w:rPr>
        <w:t>единый сельскохозяйственный налог</w:t>
      </w:r>
      <w:r w:rsidRPr="004B0A4E">
        <w:rPr>
          <w:rFonts w:ascii="PT Astra Serif" w:hAnsi="PT Astra Serif" w:cs="Times New Roman"/>
          <w:sz w:val="28"/>
          <w:szCs w:val="24"/>
        </w:rPr>
        <w:t xml:space="preserve"> на </w:t>
      </w:r>
      <w:r w:rsidR="0042086D" w:rsidRPr="004B0A4E">
        <w:rPr>
          <w:rFonts w:ascii="PT Astra Serif" w:hAnsi="PT Astra Serif" w:cs="Times New Roman"/>
          <w:sz w:val="28"/>
          <w:szCs w:val="24"/>
        </w:rPr>
        <w:t xml:space="preserve">1956,2 </w:t>
      </w:r>
      <w:r w:rsidRPr="004B0A4E">
        <w:rPr>
          <w:rFonts w:ascii="PT Astra Serif" w:hAnsi="PT Astra Serif" w:cs="Times New Roman"/>
          <w:sz w:val="28"/>
          <w:szCs w:val="24"/>
        </w:rPr>
        <w:t>тыс.</w:t>
      </w:r>
      <w:r w:rsidR="0081044E">
        <w:rPr>
          <w:rFonts w:ascii="PT Astra Serif" w:hAnsi="PT Astra Serif" w:cs="Times New Roman"/>
          <w:sz w:val="28"/>
          <w:szCs w:val="24"/>
        </w:rPr>
        <w:t xml:space="preserve"> </w:t>
      </w:r>
      <w:r w:rsidRPr="004B0A4E">
        <w:rPr>
          <w:rFonts w:ascii="PT Astra Serif" w:hAnsi="PT Astra Serif" w:cs="Times New Roman"/>
          <w:sz w:val="28"/>
          <w:szCs w:val="24"/>
        </w:rPr>
        <w:t xml:space="preserve">рублей или на </w:t>
      </w:r>
      <w:r w:rsidR="0042086D" w:rsidRPr="004B0A4E">
        <w:rPr>
          <w:rFonts w:ascii="PT Astra Serif" w:hAnsi="PT Astra Serif" w:cs="Times New Roman"/>
          <w:sz w:val="28"/>
          <w:szCs w:val="24"/>
        </w:rPr>
        <w:t>28</w:t>
      </w:r>
      <w:r w:rsidR="00B06B1D" w:rsidRPr="004B0A4E">
        <w:rPr>
          <w:rFonts w:ascii="PT Astra Serif" w:hAnsi="PT Astra Serif" w:cs="Times New Roman"/>
          <w:sz w:val="28"/>
          <w:szCs w:val="24"/>
        </w:rPr>
        <w:t>,4</w:t>
      </w:r>
      <w:r w:rsidRPr="004B0A4E">
        <w:rPr>
          <w:rFonts w:ascii="PT Astra Serif" w:hAnsi="PT Astra Serif" w:cs="Times New Roman"/>
          <w:sz w:val="28"/>
          <w:szCs w:val="24"/>
        </w:rPr>
        <w:t xml:space="preserve"> % ниже уровня прошлого года;</w:t>
      </w:r>
    </w:p>
    <w:p w:rsidR="006D5F84" w:rsidRPr="004B0A4E" w:rsidRDefault="006D5F84" w:rsidP="006D5F8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4"/>
        </w:rPr>
      </w:pPr>
      <w:r w:rsidRPr="004B0A4E">
        <w:rPr>
          <w:rFonts w:ascii="PT Astra Serif" w:hAnsi="PT Astra Serif" w:cs="Times New Roman"/>
          <w:sz w:val="28"/>
          <w:szCs w:val="24"/>
        </w:rPr>
        <w:t>-</w:t>
      </w:r>
      <w:r w:rsidRPr="004B0A4E">
        <w:rPr>
          <w:rFonts w:ascii="PT Astra Serif" w:hAnsi="PT Astra Serif" w:cs="Times New Roman"/>
          <w:b/>
          <w:sz w:val="28"/>
          <w:szCs w:val="24"/>
        </w:rPr>
        <w:t xml:space="preserve"> плата за негативное воздействие на окружающую среду</w:t>
      </w:r>
      <w:r w:rsidRPr="004B0A4E">
        <w:rPr>
          <w:rFonts w:ascii="PT Astra Serif" w:hAnsi="PT Astra Serif" w:cs="Times New Roman"/>
          <w:sz w:val="28"/>
          <w:szCs w:val="24"/>
        </w:rPr>
        <w:t xml:space="preserve"> на </w:t>
      </w:r>
      <w:r w:rsidR="0042086D" w:rsidRPr="004B0A4E">
        <w:rPr>
          <w:rFonts w:ascii="PT Astra Serif" w:hAnsi="PT Astra Serif" w:cs="Times New Roman"/>
          <w:sz w:val="28"/>
          <w:szCs w:val="24"/>
        </w:rPr>
        <w:t>89,7</w:t>
      </w:r>
      <w:r w:rsidRPr="004B0A4E">
        <w:rPr>
          <w:rFonts w:ascii="PT Astra Serif" w:hAnsi="PT Astra Serif" w:cs="Times New Roman"/>
          <w:sz w:val="28"/>
          <w:szCs w:val="24"/>
        </w:rPr>
        <w:t xml:space="preserve"> тыс. рублей или в</w:t>
      </w:r>
      <w:r w:rsidR="0042086D" w:rsidRPr="004B0A4E">
        <w:rPr>
          <w:rFonts w:ascii="PT Astra Serif" w:hAnsi="PT Astra Serif" w:cs="Times New Roman"/>
          <w:sz w:val="28"/>
          <w:szCs w:val="24"/>
        </w:rPr>
        <w:t xml:space="preserve"> 2</w:t>
      </w:r>
      <w:r w:rsidRPr="004B0A4E">
        <w:rPr>
          <w:rFonts w:ascii="PT Astra Serif" w:hAnsi="PT Astra Serif" w:cs="Times New Roman"/>
          <w:sz w:val="28"/>
          <w:szCs w:val="24"/>
        </w:rPr>
        <w:t xml:space="preserve"> раза  </w:t>
      </w:r>
      <w:r w:rsidR="0042086D" w:rsidRPr="004B0A4E">
        <w:rPr>
          <w:rFonts w:ascii="PT Astra Serif" w:hAnsi="PT Astra Serif" w:cs="Times New Roman"/>
          <w:sz w:val="28"/>
          <w:szCs w:val="24"/>
        </w:rPr>
        <w:t>ниже уровня прошлого года.</w:t>
      </w:r>
    </w:p>
    <w:p w:rsidR="00675BE7" w:rsidRDefault="00675BE7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4B0A4E" w:rsidRDefault="004B0A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81044E" w:rsidRPr="004B0A4E" w:rsidRDefault="0081044E" w:rsidP="00675BE7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4"/>
        </w:rPr>
      </w:pPr>
    </w:p>
    <w:p w:rsidR="004B0A4E" w:rsidRPr="0081044E" w:rsidRDefault="007B6297" w:rsidP="007B6297">
      <w:pPr>
        <w:ind w:right="-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0A4E">
        <w:rPr>
          <w:rFonts w:ascii="PT Astra Serif" w:hAnsi="PT Astra Serif" w:cs="Times New Roman"/>
          <w:b/>
          <w:sz w:val="28"/>
          <w:szCs w:val="28"/>
        </w:rPr>
        <w:t>Комплексный  анализ  поступления  собственных  доходов рассмотрен в таблице 2</w:t>
      </w:r>
    </w:p>
    <w:p w:rsidR="007B6297" w:rsidRPr="004B0A4E" w:rsidRDefault="007B6297" w:rsidP="007B6297">
      <w:pPr>
        <w:ind w:right="-5"/>
        <w:jc w:val="right"/>
        <w:rPr>
          <w:rFonts w:ascii="PT Astra Serif" w:hAnsi="PT Astra Serif" w:cs="Times New Roman"/>
          <w:sz w:val="28"/>
          <w:szCs w:val="28"/>
        </w:rPr>
      </w:pPr>
      <w:r w:rsidRPr="004B0A4E">
        <w:rPr>
          <w:rFonts w:ascii="PT Astra Serif" w:hAnsi="PT Astra Serif" w:cs="Times New Roman"/>
          <w:sz w:val="28"/>
          <w:szCs w:val="28"/>
        </w:rPr>
        <w:t>Таблица №2.</w:t>
      </w:r>
    </w:p>
    <w:tbl>
      <w:tblPr>
        <w:tblW w:w="10098" w:type="dxa"/>
        <w:tblInd w:w="-318" w:type="dxa"/>
        <w:tblLayout w:type="fixed"/>
        <w:tblLook w:val="0000"/>
      </w:tblPr>
      <w:tblGrid>
        <w:gridCol w:w="2411"/>
        <w:gridCol w:w="1134"/>
        <w:gridCol w:w="992"/>
        <w:gridCol w:w="709"/>
        <w:gridCol w:w="1072"/>
        <w:gridCol w:w="1054"/>
        <w:gridCol w:w="709"/>
        <w:gridCol w:w="1134"/>
        <w:gridCol w:w="98"/>
        <w:gridCol w:w="785"/>
      </w:tblGrid>
      <w:tr w:rsidR="007B6297" w:rsidRPr="004B0A4E" w:rsidTr="004B0A4E">
        <w:trPr>
          <w:trHeight w:val="20"/>
        </w:trPr>
        <w:tc>
          <w:tcPr>
            <w:tcW w:w="10098" w:type="dxa"/>
            <w:gridSpan w:val="10"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0A4E">
              <w:rPr>
                <w:rFonts w:ascii="PT Astra Serif" w:hAnsi="PT Astra Serif" w:cs="Times New Roman"/>
                <w:sz w:val="28"/>
                <w:szCs w:val="28"/>
              </w:rPr>
              <w:t xml:space="preserve"> Анализ поступлений собственных доходов</w:t>
            </w:r>
          </w:p>
          <w:p w:rsidR="007B6297" w:rsidRPr="004B0A4E" w:rsidRDefault="007B6297" w:rsidP="0078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0A4E">
              <w:rPr>
                <w:rFonts w:ascii="PT Astra Serif" w:hAnsi="PT Astra Serif" w:cs="Times New Roman"/>
                <w:sz w:val="28"/>
                <w:szCs w:val="28"/>
              </w:rPr>
              <w:t xml:space="preserve">за </w:t>
            </w:r>
            <w:r w:rsidR="00E2707C" w:rsidRPr="004B0A4E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7858AB" w:rsidRPr="004B0A4E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B0A4E">
              <w:rPr>
                <w:rFonts w:ascii="PT Astra Serif" w:hAnsi="PT Astra Serif" w:cs="Times New Roman"/>
                <w:sz w:val="28"/>
                <w:szCs w:val="28"/>
              </w:rPr>
              <w:t>-20</w:t>
            </w:r>
            <w:r w:rsidR="009F1127" w:rsidRPr="004B0A4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858AB" w:rsidRPr="004B0A4E">
              <w:rPr>
                <w:rFonts w:ascii="PT Astra Serif" w:hAnsi="PT Astra Serif" w:cs="Times New Roman"/>
                <w:sz w:val="28"/>
                <w:szCs w:val="28"/>
              </w:rPr>
              <w:t xml:space="preserve">4 </w:t>
            </w:r>
            <w:r w:rsidRPr="004B0A4E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9F1127" w:rsidRPr="004B0A4E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4B0A4E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7B6297" w:rsidRPr="004B0A4E" w:rsidTr="004B0A4E">
        <w:trPr>
          <w:trHeight w:val="20"/>
        </w:trPr>
        <w:tc>
          <w:tcPr>
            <w:tcW w:w="2411" w:type="dxa"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тыс.руб.</w:t>
            </w:r>
          </w:p>
        </w:tc>
        <w:tc>
          <w:tcPr>
            <w:tcW w:w="785" w:type="dxa"/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B629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Всего поступило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B6297" w:rsidRPr="004B0A4E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B6297" w:rsidRPr="004B0A4E" w:rsidRDefault="007B6297" w:rsidP="009D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 20</w:t>
            </w:r>
            <w:r w:rsidR="009D547E" w:rsidRPr="004B0A4E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8C4A08" w:rsidRPr="004B0A4E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B6297" w:rsidRPr="004B0A4E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7B6297" w:rsidRPr="004B0A4E" w:rsidRDefault="00BC0AD7" w:rsidP="00E6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  <w:r w:rsidR="007B6297"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Отношение </w:t>
            </w:r>
            <w:r w:rsidR="00BC0AD7"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2024 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г. к </w:t>
            </w:r>
          </w:p>
          <w:p w:rsidR="007B6297" w:rsidRPr="004B0A4E" w:rsidRDefault="007B6297" w:rsidP="0025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20</w:t>
            </w:r>
            <w:r w:rsidR="0025386A" w:rsidRPr="004B0A4E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BC0AD7"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3 </w:t>
            </w: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г.</w:t>
            </w:r>
          </w:p>
        </w:tc>
      </w:tr>
      <w:tr w:rsidR="007B6297" w:rsidRPr="004B0A4E" w:rsidTr="004B0A4E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план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+,-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297" w:rsidRPr="004B0A4E" w:rsidRDefault="007B6297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163116,0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163868,7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180195,2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182565,3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18696,6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111,4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74243,0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74574,0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81743,2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87792,2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13218,2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117,7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15297,1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17805,5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17429,5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18696,3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890,8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105,0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18494,1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14547,0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14636,3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-3857,8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79,1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-34,1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37,5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80,6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-136,4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6882,5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4967,0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4926,3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-1956,2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71,6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2000,0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1506,3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1463,3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54531D" w:rsidP="004330D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35 раз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3427,2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3744,5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490,7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115,1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21948,9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25522,2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24410,4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2461,5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111,2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1720,6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2980,0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3120,3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1399,7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54531D" w:rsidP="004330D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1,8 раза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4B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Отмененные налоги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B0A4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4834,0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5411,8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7777,4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8029,5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2617,7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148,4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176,2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83,0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86,5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-89,7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49,1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Доходы от реализации имущества, находящегося в собственности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5468,8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4940,0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9548,9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5656,1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716,1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114,5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573,4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985,0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991,0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417,6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746305" w:rsidP="004330D7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1,7 раза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Прочие неналоговые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1860,7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1508,8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2228,0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2213,2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704,4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146,7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i/>
                <w:i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i/>
                <w:iCs/>
                <w:sz w:val="20"/>
                <w:szCs w:val="20"/>
              </w:rPr>
              <w:t xml:space="preserve">Доходы от предпринимательской и иной приносящей доход деятельности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6570,2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6919,3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6709,9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139,7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102,1</w:t>
            </w:r>
          </w:p>
        </w:tc>
      </w:tr>
      <w:tr w:rsidR="004330D7" w:rsidRPr="004B0A4E" w:rsidTr="004B0A4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0D7" w:rsidRPr="004B0A4E" w:rsidRDefault="004330D7" w:rsidP="00B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     в т.ч. РОО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5947,2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8C4A08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sz w:val="20"/>
                <w:szCs w:val="20"/>
              </w:rPr>
              <w:t>5947,2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0746B5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4B0A4E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</w:t>
            </w:r>
            <w:r w:rsidR="000746B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5849,0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5849,0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BC0A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-98,2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30D7" w:rsidRPr="004B0A4E" w:rsidRDefault="004330D7" w:rsidP="004330D7">
            <w:pPr>
              <w:jc w:val="center"/>
              <w:rPr>
                <w:rFonts w:ascii="PT Astra Serif" w:hAnsi="PT Astra Serif"/>
                <w:sz w:val="20"/>
              </w:rPr>
            </w:pPr>
            <w:r w:rsidRPr="004B0A4E">
              <w:rPr>
                <w:rFonts w:ascii="PT Astra Serif" w:hAnsi="PT Astra Serif"/>
                <w:sz w:val="20"/>
              </w:rPr>
              <w:t>98,3</w:t>
            </w:r>
          </w:p>
        </w:tc>
      </w:tr>
    </w:tbl>
    <w:p w:rsidR="0079182F" w:rsidRPr="004B0A4E" w:rsidRDefault="0079182F" w:rsidP="00BD28D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442504" w:rsidRPr="004B0A4E" w:rsidRDefault="00EC06A6" w:rsidP="00442504">
      <w:pPr>
        <w:ind w:firstLine="709"/>
        <w:jc w:val="both"/>
        <w:rPr>
          <w:rFonts w:ascii="PT Astra Serif" w:hAnsi="PT Astra Serif"/>
          <w:sz w:val="28"/>
          <w:szCs w:val="24"/>
        </w:rPr>
      </w:pPr>
      <w:r w:rsidRPr="004B0A4E">
        <w:rPr>
          <w:rFonts w:ascii="PT Astra Serif" w:hAnsi="PT Astra Serif"/>
          <w:sz w:val="28"/>
          <w:szCs w:val="24"/>
        </w:rPr>
        <w:t>Выполнение плана</w:t>
      </w:r>
      <w:r w:rsidR="00442504" w:rsidRPr="004B0A4E">
        <w:rPr>
          <w:rFonts w:ascii="PT Astra Serif" w:hAnsi="PT Astra Serif"/>
          <w:sz w:val="28"/>
          <w:szCs w:val="24"/>
        </w:rPr>
        <w:t xml:space="preserve"> по  собственным  доходам</w:t>
      </w:r>
      <w:r w:rsidR="00846E14">
        <w:rPr>
          <w:rFonts w:ascii="PT Astra Serif" w:hAnsi="PT Astra Serif"/>
          <w:sz w:val="28"/>
          <w:szCs w:val="24"/>
        </w:rPr>
        <w:t xml:space="preserve"> за 2024 год</w:t>
      </w:r>
      <w:r w:rsidR="00442504" w:rsidRPr="004B0A4E">
        <w:rPr>
          <w:rFonts w:ascii="PT Astra Serif" w:hAnsi="PT Astra Serif"/>
          <w:sz w:val="28"/>
          <w:szCs w:val="24"/>
        </w:rPr>
        <w:t xml:space="preserve">  составило  </w:t>
      </w:r>
      <w:r w:rsidRPr="004B0A4E">
        <w:rPr>
          <w:rFonts w:ascii="PT Astra Serif" w:hAnsi="PT Astra Serif"/>
          <w:sz w:val="28"/>
          <w:szCs w:val="24"/>
        </w:rPr>
        <w:t>101,3</w:t>
      </w:r>
      <w:r w:rsidR="00442504" w:rsidRPr="004B0A4E">
        <w:rPr>
          <w:rFonts w:ascii="PT Astra Serif" w:hAnsi="PT Astra Serif"/>
          <w:sz w:val="28"/>
          <w:szCs w:val="24"/>
        </w:rPr>
        <w:t>%</w:t>
      </w:r>
      <w:r w:rsidR="002F3A35" w:rsidRPr="004B0A4E">
        <w:rPr>
          <w:rFonts w:ascii="PT Astra Serif" w:hAnsi="PT Astra Serif"/>
          <w:sz w:val="28"/>
          <w:szCs w:val="24"/>
        </w:rPr>
        <w:t>.</w:t>
      </w:r>
      <w:r w:rsidR="00442504" w:rsidRPr="004B0A4E">
        <w:rPr>
          <w:rFonts w:ascii="PT Astra Serif" w:hAnsi="PT Astra Serif"/>
          <w:sz w:val="28"/>
          <w:szCs w:val="24"/>
        </w:rPr>
        <w:t xml:space="preserve"> Перевыполнение образовалось  </w:t>
      </w:r>
      <w:r w:rsidR="002B6DAE" w:rsidRPr="004B0A4E">
        <w:rPr>
          <w:rFonts w:ascii="PT Astra Serif" w:hAnsi="PT Astra Serif"/>
          <w:sz w:val="28"/>
          <w:szCs w:val="24"/>
        </w:rPr>
        <w:t>по следующим доходным источникам</w:t>
      </w:r>
      <w:r w:rsidR="00442504" w:rsidRPr="004B0A4E">
        <w:rPr>
          <w:rFonts w:ascii="PT Astra Serif" w:hAnsi="PT Astra Serif"/>
          <w:sz w:val="28"/>
          <w:szCs w:val="24"/>
        </w:rPr>
        <w:t>:</w:t>
      </w:r>
    </w:p>
    <w:p w:rsidR="00442504" w:rsidRPr="004B0A4E" w:rsidRDefault="00442504" w:rsidP="004425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4B0A4E">
        <w:rPr>
          <w:rFonts w:ascii="PT Astra Serif" w:hAnsi="PT Astra Serif"/>
          <w:sz w:val="28"/>
          <w:szCs w:val="24"/>
        </w:rPr>
        <w:t xml:space="preserve">- налог на доходы физических лиц на </w:t>
      </w:r>
      <w:r w:rsidR="002B6DAE" w:rsidRPr="004B0A4E">
        <w:rPr>
          <w:rFonts w:ascii="PT Astra Serif" w:hAnsi="PT Astra Serif"/>
          <w:b/>
          <w:sz w:val="28"/>
          <w:szCs w:val="24"/>
        </w:rPr>
        <w:t>6049,0</w:t>
      </w:r>
      <w:r w:rsidRPr="004B0A4E">
        <w:rPr>
          <w:rFonts w:ascii="PT Astra Serif" w:hAnsi="PT Astra Serif"/>
          <w:b/>
          <w:sz w:val="28"/>
          <w:szCs w:val="24"/>
        </w:rPr>
        <w:t xml:space="preserve"> тыс. рублей</w:t>
      </w:r>
      <w:r w:rsidRPr="004B0A4E">
        <w:rPr>
          <w:rFonts w:ascii="PT Astra Serif" w:hAnsi="PT Astra Serif"/>
          <w:sz w:val="28"/>
          <w:szCs w:val="24"/>
        </w:rPr>
        <w:t xml:space="preserve"> или на </w:t>
      </w:r>
      <w:r w:rsidR="00A85031" w:rsidRPr="004B0A4E">
        <w:rPr>
          <w:rFonts w:ascii="PT Astra Serif" w:hAnsi="PT Astra Serif"/>
          <w:sz w:val="28"/>
          <w:szCs w:val="24"/>
        </w:rPr>
        <w:t>7</w:t>
      </w:r>
      <w:r w:rsidRPr="004B0A4E">
        <w:rPr>
          <w:rFonts w:ascii="PT Astra Serif" w:hAnsi="PT Astra Serif"/>
          <w:sz w:val="28"/>
          <w:szCs w:val="24"/>
        </w:rPr>
        <w:t>,4 % выше плана;</w:t>
      </w:r>
    </w:p>
    <w:p w:rsidR="00442504" w:rsidRPr="004B0A4E" w:rsidRDefault="00442504" w:rsidP="004425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4B0A4E">
        <w:rPr>
          <w:rFonts w:ascii="PT Astra Serif" w:hAnsi="PT Astra Serif"/>
          <w:sz w:val="28"/>
          <w:szCs w:val="24"/>
        </w:rPr>
        <w:t xml:space="preserve">- акцизы на нефтепродукты на </w:t>
      </w:r>
      <w:r w:rsidR="00A85031" w:rsidRPr="004B0A4E">
        <w:rPr>
          <w:rFonts w:ascii="PT Astra Serif" w:hAnsi="PT Astra Serif"/>
          <w:b/>
          <w:sz w:val="28"/>
          <w:szCs w:val="24"/>
        </w:rPr>
        <w:t>1266,8</w:t>
      </w:r>
      <w:r w:rsidRPr="004B0A4E">
        <w:rPr>
          <w:rFonts w:ascii="PT Astra Serif" w:hAnsi="PT Astra Serif"/>
          <w:b/>
          <w:sz w:val="28"/>
          <w:szCs w:val="24"/>
        </w:rPr>
        <w:t xml:space="preserve"> тыс. рублей</w:t>
      </w:r>
      <w:r w:rsidRPr="004B0A4E">
        <w:rPr>
          <w:rFonts w:ascii="PT Astra Serif" w:hAnsi="PT Astra Serif"/>
          <w:sz w:val="28"/>
          <w:szCs w:val="24"/>
        </w:rPr>
        <w:t xml:space="preserve"> или на </w:t>
      </w:r>
      <w:r w:rsidR="00A85031" w:rsidRPr="004B0A4E">
        <w:rPr>
          <w:rFonts w:ascii="PT Astra Serif" w:hAnsi="PT Astra Serif"/>
          <w:sz w:val="28"/>
          <w:szCs w:val="24"/>
        </w:rPr>
        <w:t>7,3</w:t>
      </w:r>
      <w:r w:rsidRPr="004B0A4E">
        <w:rPr>
          <w:rFonts w:ascii="PT Astra Serif" w:hAnsi="PT Astra Serif"/>
          <w:sz w:val="28"/>
          <w:szCs w:val="24"/>
        </w:rPr>
        <w:t>% выше плана;</w:t>
      </w:r>
    </w:p>
    <w:p w:rsidR="00A85031" w:rsidRPr="004B0A4E" w:rsidRDefault="00A85031" w:rsidP="0044250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4"/>
        </w:rPr>
      </w:pPr>
      <w:r w:rsidRPr="004B0A4E">
        <w:rPr>
          <w:rFonts w:ascii="PT Astra Serif" w:hAnsi="PT Astra Serif"/>
          <w:sz w:val="28"/>
          <w:szCs w:val="24"/>
        </w:rPr>
        <w:t xml:space="preserve">- упрощённая система налогообложения на </w:t>
      </w:r>
      <w:r w:rsidRPr="004B0A4E">
        <w:rPr>
          <w:rFonts w:ascii="PT Astra Serif" w:hAnsi="PT Astra Serif"/>
          <w:b/>
          <w:sz w:val="28"/>
          <w:szCs w:val="24"/>
        </w:rPr>
        <w:t>89,3 тыс. рублей</w:t>
      </w:r>
      <w:r w:rsidRPr="004B0A4E">
        <w:rPr>
          <w:rFonts w:ascii="PT Astra Serif" w:hAnsi="PT Astra Serif"/>
          <w:sz w:val="28"/>
          <w:szCs w:val="24"/>
        </w:rPr>
        <w:t xml:space="preserve"> или на 0,6% выше плана;</w:t>
      </w:r>
    </w:p>
    <w:p w:rsidR="00442504" w:rsidRPr="004B0A4E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-налог на имущество физических лиц на </w:t>
      </w:r>
      <w:r w:rsidR="008C00EF" w:rsidRPr="004B0A4E">
        <w:rPr>
          <w:rFonts w:ascii="PT Astra Serif" w:hAnsi="PT Astra Serif"/>
          <w:b/>
          <w:sz w:val="28"/>
        </w:rPr>
        <w:t xml:space="preserve">317,3 </w:t>
      </w:r>
      <w:r w:rsidRPr="004B0A4E">
        <w:rPr>
          <w:rFonts w:ascii="PT Astra Serif" w:hAnsi="PT Astra Serif"/>
          <w:b/>
          <w:sz w:val="28"/>
        </w:rPr>
        <w:t>тыс.руб.</w:t>
      </w:r>
      <w:r w:rsidRPr="004B0A4E">
        <w:rPr>
          <w:rFonts w:ascii="PT Astra Serif" w:hAnsi="PT Astra Serif"/>
          <w:sz w:val="28"/>
        </w:rPr>
        <w:t xml:space="preserve"> или на </w:t>
      </w:r>
      <w:r w:rsidR="008C00EF" w:rsidRPr="004B0A4E">
        <w:rPr>
          <w:rFonts w:ascii="PT Astra Serif" w:hAnsi="PT Astra Serif"/>
          <w:sz w:val="28"/>
        </w:rPr>
        <w:t>9,3</w:t>
      </w:r>
      <w:r w:rsidRPr="004B0A4E">
        <w:rPr>
          <w:rFonts w:ascii="PT Astra Serif" w:hAnsi="PT Astra Serif"/>
          <w:sz w:val="28"/>
        </w:rPr>
        <w:t xml:space="preserve"> % выше плана;</w:t>
      </w:r>
    </w:p>
    <w:p w:rsidR="00442504" w:rsidRPr="004B0A4E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-госпошлина на </w:t>
      </w:r>
      <w:r w:rsidR="004356F6" w:rsidRPr="004B0A4E">
        <w:rPr>
          <w:rFonts w:ascii="PT Astra Serif" w:hAnsi="PT Astra Serif"/>
          <w:b/>
          <w:sz w:val="28"/>
        </w:rPr>
        <w:t>140,2</w:t>
      </w:r>
      <w:r w:rsidRPr="004B0A4E">
        <w:rPr>
          <w:rFonts w:ascii="PT Astra Serif" w:hAnsi="PT Astra Serif"/>
          <w:b/>
          <w:sz w:val="28"/>
        </w:rPr>
        <w:t xml:space="preserve"> тыс.руб.</w:t>
      </w:r>
      <w:r w:rsidRPr="004B0A4E">
        <w:rPr>
          <w:rFonts w:ascii="PT Astra Serif" w:hAnsi="PT Astra Serif"/>
          <w:sz w:val="28"/>
        </w:rPr>
        <w:t xml:space="preserve"> или на </w:t>
      </w:r>
      <w:r w:rsidR="004356F6" w:rsidRPr="004B0A4E">
        <w:rPr>
          <w:rFonts w:ascii="PT Astra Serif" w:hAnsi="PT Astra Serif"/>
          <w:sz w:val="28"/>
        </w:rPr>
        <w:t>4,7</w:t>
      </w:r>
      <w:r w:rsidRPr="004B0A4E">
        <w:rPr>
          <w:rFonts w:ascii="PT Astra Serif" w:hAnsi="PT Astra Serif"/>
          <w:sz w:val="28"/>
        </w:rPr>
        <w:t xml:space="preserve"> % выше плана;</w:t>
      </w:r>
    </w:p>
    <w:p w:rsidR="00442504" w:rsidRPr="004B0A4E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 доходы от использования муниципального имущества на </w:t>
      </w:r>
      <w:r w:rsidR="004356F6" w:rsidRPr="004B0A4E">
        <w:rPr>
          <w:rFonts w:ascii="PT Astra Serif" w:hAnsi="PT Astra Serif"/>
          <w:b/>
          <w:sz w:val="28"/>
        </w:rPr>
        <w:t>252,1</w:t>
      </w:r>
      <w:r w:rsidRPr="004B0A4E">
        <w:rPr>
          <w:rFonts w:ascii="PT Astra Serif" w:hAnsi="PT Astra Serif"/>
          <w:b/>
          <w:sz w:val="28"/>
        </w:rPr>
        <w:t xml:space="preserve"> тыс.руб.</w:t>
      </w:r>
      <w:r w:rsidRPr="004B0A4E">
        <w:rPr>
          <w:rFonts w:ascii="PT Astra Serif" w:hAnsi="PT Astra Serif"/>
          <w:sz w:val="28"/>
        </w:rPr>
        <w:t xml:space="preserve"> или на </w:t>
      </w:r>
      <w:r w:rsidR="004356F6" w:rsidRPr="004B0A4E">
        <w:rPr>
          <w:rFonts w:ascii="PT Astra Serif" w:hAnsi="PT Astra Serif"/>
          <w:sz w:val="28"/>
        </w:rPr>
        <w:t>3,2</w:t>
      </w:r>
      <w:r w:rsidRPr="004B0A4E">
        <w:rPr>
          <w:rFonts w:ascii="PT Astra Serif" w:hAnsi="PT Astra Serif"/>
          <w:sz w:val="28"/>
        </w:rPr>
        <w:t>% выше плана;</w:t>
      </w:r>
    </w:p>
    <w:p w:rsidR="00442504" w:rsidRPr="004B0A4E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 </w:t>
      </w:r>
      <w:r w:rsidRPr="004B0A4E">
        <w:rPr>
          <w:rFonts w:ascii="PT Astra Serif" w:hAnsi="PT Astra Serif"/>
          <w:iCs/>
          <w:sz w:val="28"/>
        </w:rPr>
        <w:t>плата за негативное воздействие на окружающую среду</w:t>
      </w:r>
      <w:r w:rsidR="00F95937">
        <w:rPr>
          <w:rFonts w:ascii="PT Astra Serif" w:hAnsi="PT Astra Serif"/>
          <w:iCs/>
          <w:sz w:val="28"/>
        </w:rPr>
        <w:t xml:space="preserve"> </w:t>
      </w:r>
      <w:r w:rsidRPr="004B0A4E">
        <w:rPr>
          <w:rFonts w:ascii="PT Astra Serif" w:hAnsi="PT Astra Serif"/>
          <w:sz w:val="28"/>
        </w:rPr>
        <w:t xml:space="preserve">на </w:t>
      </w:r>
      <w:r w:rsidR="004356F6" w:rsidRPr="004B0A4E">
        <w:rPr>
          <w:rFonts w:ascii="PT Astra Serif" w:hAnsi="PT Astra Serif"/>
          <w:b/>
          <w:sz w:val="28"/>
        </w:rPr>
        <w:t>3,5</w:t>
      </w:r>
      <w:r w:rsidRPr="004B0A4E">
        <w:rPr>
          <w:rFonts w:ascii="PT Astra Serif" w:hAnsi="PT Astra Serif"/>
          <w:b/>
          <w:sz w:val="28"/>
        </w:rPr>
        <w:t xml:space="preserve"> тыс</w:t>
      </w:r>
      <w:proofErr w:type="gramStart"/>
      <w:r w:rsidRPr="004B0A4E">
        <w:rPr>
          <w:rFonts w:ascii="PT Astra Serif" w:hAnsi="PT Astra Serif"/>
          <w:b/>
          <w:sz w:val="28"/>
        </w:rPr>
        <w:t>.р</w:t>
      </w:r>
      <w:proofErr w:type="gramEnd"/>
      <w:r w:rsidRPr="004B0A4E">
        <w:rPr>
          <w:rFonts w:ascii="PT Astra Serif" w:hAnsi="PT Astra Serif"/>
          <w:b/>
          <w:sz w:val="28"/>
        </w:rPr>
        <w:t>уб.</w:t>
      </w:r>
      <w:r w:rsidRPr="004B0A4E">
        <w:rPr>
          <w:rFonts w:ascii="PT Astra Serif" w:hAnsi="PT Astra Serif"/>
          <w:sz w:val="28"/>
        </w:rPr>
        <w:t xml:space="preserve"> или на </w:t>
      </w:r>
      <w:r w:rsidR="004356F6" w:rsidRPr="004B0A4E">
        <w:rPr>
          <w:rFonts w:ascii="PT Astra Serif" w:hAnsi="PT Astra Serif"/>
          <w:sz w:val="28"/>
        </w:rPr>
        <w:t>4</w:t>
      </w:r>
      <w:r w:rsidRPr="004B0A4E">
        <w:rPr>
          <w:rFonts w:ascii="PT Astra Serif" w:hAnsi="PT Astra Serif"/>
          <w:sz w:val="28"/>
        </w:rPr>
        <w:t>,</w:t>
      </w:r>
      <w:r w:rsidR="004356F6" w:rsidRPr="004B0A4E">
        <w:rPr>
          <w:rFonts w:ascii="PT Astra Serif" w:hAnsi="PT Astra Serif"/>
          <w:sz w:val="28"/>
        </w:rPr>
        <w:t>2</w:t>
      </w:r>
      <w:r w:rsidRPr="004B0A4E">
        <w:rPr>
          <w:rFonts w:ascii="PT Astra Serif" w:hAnsi="PT Astra Serif"/>
          <w:sz w:val="28"/>
        </w:rPr>
        <w:t>% выше плана;</w:t>
      </w:r>
    </w:p>
    <w:p w:rsidR="00442504" w:rsidRPr="004B0A4E" w:rsidRDefault="00442504" w:rsidP="00442504">
      <w:pPr>
        <w:pStyle w:val="a7"/>
        <w:spacing w:after="0"/>
        <w:ind w:left="0" w:firstLine="709"/>
        <w:jc w:val="both"/>
        <w:rPr>
          <w:rFonts w:ascii="PT Astra Serif" w:hAnsi="PT Astra Serif"/>
          <w:sz w:val="28"/>
        </w:rPr>
      </w:pPr>
      <w:r w:rsidRPr="004B0A4E">
        <w:rPr>
          <w:rFonts w:ascii="PT Astra Serif" w:hAnsi="PT Astra Serif"/>
          <w:sz w:val="28"/>
        </w:rPr>
        <w:t xml:space="preserve">- штрафы на </w:t>
      </w:r>
      <w:r w:rsidR="00A32628" w:rsidRPr="004B0A4E">
        <w:rPr>
          <w:rFonts w:ascii="PT Astra Serif" w:hAnsi="PT Astra Serif"/>
          <w:b/>
          <w:sz w:val="28"/>
        </w:rPr>
        <w:t>6,0</w:t>
      </w:r>
      <w:r w:rsidRPr="004B0A4E">
        <w:rPr>
          <w:rFonts w:ascii="PT Astra Serif" w:hAnsi="PT Astra Serif"/>
          <w:b/>
          <w:sz w:val="28"/>
        </w:rPr>
        <w:t xml:space="preserve"> тыс.руб.</w:t>
      </w:r>
      <w:r w:rsidRPr="004B0A4E">
        <w:rPr>
          <w:rFonts w:ascii="PT Astra Serif" w:hAnsi="PT Astra Serif"/>
          <w:sz w:val="28"/>
        </w:rPr>
        <w:t xml:space="preserve"> или на 0,6 % выше плана.</w:t>
      </w:r>
    </w:p>
    <w:p w:rsidR="008B1341" w:rsidRPr="004B0A4E" w:rsidRDefault="008B1341" w:rsidP="00DD6BD8">
      <w:pPr>
        <w:pStyle w:val="a7"/>
        <w:spacing w:after="0" w:line="276" w:lineRule="auto"/>
        <w:ind w:left="0" w:firstLine="709"/>
        <w:jc w:val="both"/>
        <w:rPr>
          <w:rFonts w:ascii="PT Astra Serif" w:hAnsi="PT Astra Serif"/>
          <w:b/>
          <w:i/>
          <w:sz w:val="28"/>
        </w:rPr>
      </w:pPr>
    </w:p>
    <w:p w:rsidR="007B6297" w:rsidRPr="004B0A4E" w:rsidRDefault="007B6297" w:rsidP="00DD6BD8">
      <w:pPr>
        <w:spacing w:after="0"/>
        <w:ind w:right="-5"/>
        <w:jc w:val="both"/>
        <w:rPr>
          <w:rFonts w:ascii="PT Astra Serif" w:hAnsi="PT Astra Serif" w:cs="Times New Roman"/>
          <w:b/>
          <w:sz w:val="28"/>
          <w:szCs w:val="24"/>
        </w:rPr>
      </w:pPr>
      <w:r w:rsidRPr="004B0A4E">
        <w:rPr>
          <w:rFonts w:ascii="PT Astra Serif" w:hAnsi="PT Astra Serif" w:cs="Times New Roman"/>
          <w:b/>
          <w:sz w:val="28"/>
          <w:szCs w:val="24"/>
        </w:rPr>
        <w:t>В дальнейшем анализе  необходимо  рассмотреть  выполнение  плана  собственных  доходов  по  поселениям  МО  «</w:t>
      </w:r>
      <w:proofErr w:type="spellStart"/>
      <w:r w:rsidRPr="004B0A4E">
        <w:rPr>
          <w:rFonts w:ascii="PT Astra Serif" w:hAnsi="PT Astra Serif" w:cs="Times New Roman"/>
          <w:b/>
          <w:sz w:val="28"/>
          <w:szCs w:val="24"/>
        </w:rPr>
        <w:t>Цильнинский</w:t>
      </w:r>
      <w:proofErr w:type="spellEnd"/>
      <w:r w:rsidRPr="004B0A4E">
        <w:rPr>
          <w:rFonts w:ascii="PT Astra Serif" w:hAnsi="PT Astra Serif" w:cs="Times New Roman"/>
          <w:b/>
          <w:sz w:val="28"/>
          <w:szCs w:val="24"/>
        </w:rPr>
        <w:t xml:space="preserve">  район»  за  </w:t>
      </w:r>
      <w:r w:rsidR="00260CE2" w:rsidRPr="004B0A4E">
        <w:rPr>
          <w:rFonts w:ascii="PT Astra Serif" w:hAnsi="PT Astra Serif" w:cs="Times New Roman"/>
          <w:b/>
          <w:sz w:val="28"/>
          <w:szCs w:val="24"/>
        </w:rPr>
        <w:t>2024</w:t>
      </w:r>
      <w:r w:rsidR="00653387">
        <w:rPr>
          <w:rFonts w:ascii="PT Astra Serif" w:hAnsi="PT Astra Serif" w:cs="Times New Roman"/>
          <w:b/>
          <w:sz w:val="28"/>
          <w:szCs w:val="24"/>
        </w:rPr>
        <w:t xml:space="preserve">  год.</w:t>
      </w:r>
    </w:p>
    <w:p w:rsidR="00675BE7" w:rsidRPr="004B0A4E" w:rsidRDefault="00675BE7" w:rsidP="00675BE7">
      <w:pPr>
        <w:ind w:right="-5"/>
        <w:jc w:val="right"/>
        <w:rPr>
          <w:rFonts w:ascii="PT Astra Serif" w:hAnsi="PT Astra Serif" w:cs="Times New Roman"/>
          <w:sz w:val="24"/>
          <w:szCs w:val="24"/>
        </w:rPr>
      </w:pPr>
      <w:r w:rsidRPr="004B0A4E">
        <w:rPr>
          <w:rFonts w:ascii="PT Astra Serif" w:hAnsi="PT Astra Serif" w:cs="Times New Roman"/>
          <w:sz w:val="24"/>
          <w:szCs w:val="24"/>
        </w:rPr>
        <w:t>Таблица № 3.</w:t>
      </w:r>
    </w:p>
    <w:tbl>
      <w:tblPr>
        <w:tblpPr w:leftFromText="180" w:rightFromText="180" w:vertAnchor="text" w:horzAnchor="margin" w:tblpY="178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620"/>
        <w:gridCol w:w="1440"/>
        <w:gridCol w:w="968"/>
        <w:gridCol w:w="1276"/>
        <w:gridCol w:w="1536"/>
      </w:tblGrid>
      <w:tr w:rsidR="0079182F" w:rsidRPr="004B0A4E" w:rsidTr="0079182F">
        <w:trPr>
          <w:cantSplit/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82F" w:rsidRPr="004B0A4E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Муниципальное</w:t>
            </w:r>
          </w:p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4B0A4E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План по собственным</w:t>
            </w:r>
          </w:p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доходам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4B0A4E" w:rsidRDefault="0079182F" w:rsidP="0079182F">
            <w:pPr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Факт по  </w:t>
            </w:r>
            <w:proofErr w:type="gram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собственным</w:t>
            </w:r>
            <w:proofErr w:type="gramEnd"/>
          </w:p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доходам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3" w:right="-5" w:firstLine="853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Отклоне-ние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2F" w:rsidRPr="004B0A4E" w:rsidRDefault="0079182F" w:rsidP="00791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Доля  доходов 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муниц.образований</w:t>
            </w:r>
            <w:proofErr w:type="spellEnd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в  общем  поступлении доходов</w:t>
            </w:r>
          </w:p>
        </w:tc>
      </w:tr>
      <w:tr w:rsidR="00260CE2" w:rsidRPr="004B0A4E" w:rsidTr="00260CE2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Цильнинский</w:t>
            </w:r>
            <w:proofErr w:type="spellEnd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район»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113805,7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114818,2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1012,5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62,9</w:t>
            </w:r>
          </w:p>
        </w:tc>
      </w:tr>
      <w:tr w:rsidR="00260CE2" w:rsidRPr="004B0A4E" w:rsidTr="00260CE2">
        <w:trPr>
          <w:trHeight w:val="37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Цильнинское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г.п.»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29842,4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30777,4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935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16,9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Алгашинское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3741,7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3758,8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17,1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2,1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Анненковское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1983,3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1803,1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-180,2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1,0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Большенагаткинское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19048,6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19247,1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198,5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10,5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Елховоозерское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2108,0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2165,3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57,3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1,2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Мокробугурнинское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2679,0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2779,5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100,5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1,5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Новоникулинское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3669,5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3744,9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75,4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2,1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МО «</w:t>
            </w:r>
            <w:proofErr w:type="spellStart"/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Тимерсянское</w:t>
            </w:r>
            <w:proofErr w:type="spellEnd"/>
            <w:r w:rsidR="00D93159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 </w:t>
            </w: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с.п.»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3471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1,9</w:t>
            </w:r>
          </w:p>
        </w:tc>
      </w:tr>
      <w:tr w:rsidR="00260CE2" w:rsidRPr="004B0A4E" w:rsidTr="00260CE2">
        <w:trPr>
          <w:trHeight w:val="2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widowControl w:val="0"/>
              <w:autoSpaceDE w:val="0"/>
              <w:autoSpaceDN w:val="0"/>
              <w:adjustRightInd w:val="0"/>
              <w:spacing w:after="0"/>
              <w:ind w:right="-5"/>
              <w:jc w:val="both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Консолидированный  бюджет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180195,2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182565,3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2370,1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E2" w:rsidRPr="004B0A4E" w:rsidRDefault="00260CE2" w:rsidP="00260CE2">
            <w:pPr>
              <w:jc w:val="center"/>
              <w:rPr>
                <w:rFonts w:ascii="PT Astra Serif" w:hAnsi="PT Astra Serif"/>
                <w:b/>
                <w:sz w:val="20"/>
              </w:rPr>
            </w:pPr>
            <w:r w:rsidRPr="004B0A4E">
              <w:rPr>
                <w:rFonts w:ascii="PT Astra Serif" w:hAnsi="PT Astra Serif"/>
                <w:b/>
                <w:sz w:val="20"/>
              </w:rPr>
              <w:t>100,0</w:t>
            </w:r>
          </w:p>
        </w:tc>
      </w:tr>
    </w:tbl>
    <w:p w:rsidR="00675BE7" w:rsidRDefault="00675BE7" w:rsidP="007F2A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348C5" w:rsidRPr="004B0A4E" w:rsidRDefault="006348C5" w:rsidP="007F2A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B956F0" w:rsidRPr="004B0A4E" w:rsidRDefault="00B956F0" w:rsidP="00675BE7">
      <w:pPr>
        <w:spacing w:after="0" w:line="240" w:lineRule="auto"/>
        <w:ind w:firstLine="709"/>
        <w:jc w:val="both"/>
        <w:rPr>
          <w:rStyle w:val="FontStyle23"/>
          <w:rFonts w:ascii="PT Astra Serif" w:hAnsi="PT Astra Serif"/>
          <w:sz w:val="28"/>
          <w:szCs w:val="24"/>
        </w:rPr>
      </w:pPr>
      <w:proofErr w:type="gramStart"/>
      <w:r w:rsidRPr="004B0A4E">
        <w:rPr>
          <w:rStyle w:val="FontStyle23"/>
          <w:rFonts w:ascii="PT Astra Serif" w:hAnsi="PT Astra Serif"/>
          <w:b/>
          <w:sz w:val="28"/>
          <w:szCs w:val="24"/>
        </w:rPr>
        <w:t>Общая сумма доходов по консолидированному бюджету МО «</w:t>
      </w:r>
      <w:proofErr w:type="spellStart"/>
      <w:r w:rsidRPr="004B0A4E">
        <w:rPr>
          <w:rStyle w:val="FontStyle23"/>
          <w:rFonts w:ascii="PT Astra Serif" w:hAnsi="PT Astra Serif"/>
          <w:b/>
          <w:sz w:val="28"/>
          <w:szCs w:val="24"/>
        </w:rPr>
        <w:t>Цильнинский</w:t>
      </w:r>
      <w:proofErr w:type="spellEnd"/>
      <w:r w:rsidRPr="004B0A4E">
        <w:rPr>
          <w:rStyle w:val="FontStyle23"/>
          <w:rFonts w:ascii="PT Astra Serif" w:hAnsi="PT Astra Serif"/>
          <w:b/>
          <w:sz w:val="28"/>
          <w:szCs w:val="24"/>
        </w:rPr>
        <w:t xml:space="preserve"> район» за </w:t>
      </w:r>
      <w:r w:rsidR="00E2707C" w:rsidRPr="004B0A4E">
        <w:rPr>
          <w:rStyle w:val="FontStyle23"/>
          <w:rFonts w:ascii="PT Astra Serif" w:hAnsi="PT Astra Serif"/>
          <w:b/>
          <w:sz w:val="28"/>
          <w:szCs w:val="24"/>
        </w:rPr>
        <w:t>202</w:t>
      </w:r>
      <w:r w:rsidR="004C52B4" w:rsidRPr="004B0A4E">
        <w:rPr>
          <w:rStyle w:val="FontStyle23"/>
          <w:rFonts w:ascii="PT Astra Serif" w:hAnsi="PT Astra Serif"/>
          <w:b/>
          <w:sz w:val="28"/>
          <w:szCs w:val="24"/>
        </w:rPr>
        <w:t xml:space="preserve">4 </w:t>
      </w:r>
      <w:r w:rsidRPr="004B0A4E">
        <w:rPr>
          <w:rStyle w:val="FontStyle23"/>
          <w:rFonts w:ascii="PT Astra Serif" w:hAnsi="PT Astra Serif"/>
          <w:b/>
          <w:sz w:val="28"/>
          <w:szCs w:val="24"/>
        </w:rPr>
        <w:t xml:space="preserve">г. </w:t>
      </w:r>
      <w:r w:rsidRPr="004B0A4E">
        <w:rPr>
          <w:rStyle w:val="FontStyle23"/>
          <w:rFonts w:ascii="PT Astra Serif" w:hAnsi="PT Astra Serif"/>
          <w:sz w:val="28"/>
          <w:szCs w:val="24"/>
        </w:rPr>
        <w:t xml:space="preserve">планировалась в сумме </w:t>
      </w:r>
      <w:r w:rsidR="004C52B4" w:rsidRPr="004B0A4E">
        <w:rPr>
          <w:rStyle w:val="FontStyle23"/>
          <w:rFonts w:ascii="PT Astra Serif" w:hAnsi="PT Astra Serif"/>
          <w:sz w:val="28"/>
          <w:szCs w:val="24"/>
        </w:rPr>
        <w:t>961304,1</w:t>
      </w:r>
      <w:r w:rsidRPr="004B0A4E">
        <w:rPr>
          <w:rStyle w:val="FontStyle23"/>
          <w:rFonts w:ascii="PT Astra Serif" w:hAnsi="PT Astra Serif"/>
          <w:sz w:val="28"/>
          <w:szCs w:val="24"/>
        </w:rPr>
        <w:t xml:space="preserve"> тыс.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руб., в том числе по МО «</w:t>
      </w:r>
      <w:proofErr w:type="spellStart"/>
      <w:r w:rsidRPr="004B0A4E">
        <w:rPr>
          <w:rStyle w:val="FontStyle23"/>
          <w:rFonts w:ascii="PT Astra Serif" w:hAnsi="PT Astra Serif"/>
          <w:sz w:val="28"/>
          <w:szCs w:val="24"/>
        </w:rPr>
        <w:t>Цильнинский</w:t>
      </w:r>
      <w:proofErr w:type="spellEnd"/>
      <w:r w:rsidRPr="004B0A4E">
        <w:rPr>
          <w:rStyle w:val="FontStyle23"/>
          <w:rFonts w:ascii="PT Astra Serif" w:hAnsi="PT Astra Serif"/>
          <w:sz w:val="28"/>
          <w:szCs w:val="24"/>
        </w:rPr>
        <w:t xml:space="preserve"> район» -  </w:t>
      </w:r>
      <w:r w:rsidR="00503E73" w:rsidRPr="004B0A4E">
        <w:rPr>
          <w:rStyle w:val="FontStyle23"/>
          <w:rFonts w:ascii="PT Astra Serif" w:hAnsi="PT Astra Serif"/>
          <w:sz w:val="28"/>
          <w:szCs w:val="24"/>
        </w:rPr>
        <w:t>873316,1</w:t>
      </w:r>
      <w:r w:rsidRPr="004B0A4E">
        <w:rPr>
          <w:rStyle w:val="FontStyle23"/>
          <w:rFonts w:ascii="PT Astra Serif" w:hAnsi="PT Astra Serif"/>
          <w:sz w:val="28"/>
          <w:szCs w:val="24"/>
        </w:rPr>
        <w:t>тыс.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руб., по поселениям  –</w:t>
      </w:r>
      <w:r w:rsidR="00503E73" w:rsidRPr="004B0A4E">
        <w:rPr>
          <w:rStyle w:val="FontStyle23"/>
          <w:rFonts w:ascii="PT Astra Serif" w:hAnsi="PT Astra Serif"/>
          <w:sz w:val="28"/>
          <w:szCs w:val="24"/>
        </w:rPr>
        <w:t>187461,1</w:t>
      </w:r>
      <w:r w:rsidRPr="004B0A4E">
        <w:rPr>
          <w:rStyle w:val="FontStyle23"/>
          <w:rFonts w:ascii="PT Astra Serif" w:hAnsi="PT Astra Serif"/>
          <w:sz w:val="28"/>
          <w:szCs w:val="24"/>
        </w:rPr>
        <w:t>тыс.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руб. Фактическая сумма  поступлений по консолидированному бюджету МО «</w:t>
      </w:r>
      <w:proofErr w:type="spellStart"/>
      <w:r w:rsidRPr="004B0A4E">
        <w:rPr>
          <w:rStyle w:val="FontStyle23"/>
          <w:rFonts w:ascii="PT Astra Serif" w:hAnsi="PT Astra Serif"/>
          <w:sz w:val="28"/>
          <w:szCs w:val="24"/>
        </w:rPr>
        <w:t>Цильнинский</w:t>
      </w:r>
      <w:proofErr w:type="spellEnd"/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 xml:space="preserve">район» составила </w:t>
      </w:r>
      <w:r w:rsidR="00A86111" w:rsidRPr="004B0A4E">
        <w:rPr>
          <w:rStyle w:val="FontStyle23"/>
          <w:rFonts w:ascii="PT Astra Serif" w:hAnsi="PT Astra Serif"/>
          <w:sz w:val="28"/>
          <w:szCs w:val="24"/>
        </w:rPr>
        <w:t xml:space="preserve">952194,3 </w:t>
      </w:r>
      <w:r w:rsidRPr="004B0A4E">
        <w:rPr>
          <w:rStyle w:val="FontStyle23"/>
          <w:rFonts w:ascii="PT Astra Serif" w:hAnsi="PT Astra Serif"/>
          <w:sz w:val="28"/>
          <w:szCs w:val="24"/>
        </w:rPr>
        <w:t>тыс.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руб., в том числе по МО «</w:t>
      </w:r>
      <w:proofErr w:type="spellStart"/>
      <w:r w:rsidRPr="004B0A4E">
        <w:rPr>
          <w:rStyle w:val="FontStyle23"/>
          <w:rFonts w:ascii="PT Astra Serif" w:hAnsi="PT Astra Serif"/>
          <w:sz w:val="28"/>
          <w:szCs w:val="24"/>
        </w:rPr>
        <w:t>Цильнинский</w:t>
      </w:r>
      <w:proofErr w:type="spellEnd"/>
      <w:r w:rsidRPr="004B0A4E">
        <w:rPr>
          <w:rStyle w:val="FontStyle23"/>
          <w:rFonts w:ascii="PT Astra Serif" w:hAnsi="PT Astra Serif"/>
          <w:sz w:val="28"/>
          <w:szCs w:val="24"/>
        </w:rPr>
        <w:t xml:space="preserve"> район» -  </w:t>
      </w:r>
      <w:r w:rsidR="00503E73" w:rsidRPr="004B0A4E">
        <w:rPr>
          <w:rStyle w:val="FontStyle23"/>
          <w:rFonts w:ascii="PT Astra Serif" w:hAnsi="PT Astra Serif"/>
          <w:sz w:val="28"/>
          <w:szCs w:val="24"/>
        </w:rPr>
        <w:t>863142,6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тыс.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 xml:space="preserve">руб.,  по поселениям – </w:t>
      </w:r>
      <w:r w:rsidR="00503E73" w:rsidRPr="004B0A4E">
        <w:rPr>
          <w:rStyle w:val="FontStyle23"/>
          <w:rFonts w:ascii="PT Astra Serif" w:hAnsi="PT Astra Serif"/>
          <w:sz w:val="28"/>
          <w:szCs w:val="24"/>
        </w:rPr>
        <w:t>186845,3</w:t>
      </w:r>
      <w:r w:rsidR="00F95937">
        <w:rPr>
          <w:rStyle w:val="FontStyle23"/>
          <w:rFonts w:ascii="PT Astra Serif" w:hAnsi="PT Astra Serif"/>
          <w:sz w:val="28"/>
          <w:szCs w:val="24"/>
        </w:rPr>
        <w:t xml:space="preserve"> </w:t>
      </w:r>
      <w:r w:rsidRPr="004B0A4E">
        <w:rPr>
          <w:rStyle w:val="FontStyle23"/>
          <w:rFonts w:ascii="PT Astra Serif" w:hAnsi="PT Astra Serif"/>
          <w:sz w:val="28"/>
          <w:szCs w:val="24"/>
        </w:rPr>
        <w:t>тыс</w:t>
      </w:r>
      <w:proofErr w:type="gramEnd"/>
      <w:r w:rsidRPr="004B0A4E">
        <w:rPr>
          <w:rStyle w:val="FontStyle23"/>
          <w:rFonts w:ascii="PT Astra Serif" w:hAnsi="PT Astra Serif"/>
          <w:sz w:val="28"/>
          <w:szCs w:val="24"/>
        </w:rPr>
        <w:t>.руб.</w:t>
      </w:r>
    </w:p>
    <w:p w:rsidR="0070093B" w:rsidRPr="004B0A4E" w:rsidRDefault="0070093B" w:rsidP="0070093B">
      <w:pPr>
        <w:spacing w:after="0" w:line="240" w:lineRule="auto"/>
        <w:ind w:firstLine="709"/>
        <w:jc w:val="both"/>
        <w:rPr>
          <w:rStyle w:val="FontStyle23"/>
          <w:rFonts w:ascii="PT Astra Serif" w:hAnsi="PT Astra Serif"/>
          <w:sz w:val="28"/>
          <w:szCs w:val="24"/>
        </w:rPr>
      </w:pPr>
    </w:p>
    <w:p w:rsidR="00425C5E" w:rsidRPr="004B0A4E" w:rsidRDefault="00425C5E" w:rsidP="00425C5E">
      <w:pPr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b/>
          <w:sz w:val="28"/>
          <w:szCs w:val="24"/>
        </w:rPr>
        <w:t>Расходная часть бюджета</w:t>
      </w:r>
    </w:p>
    <w:p w:rsidR="00425C5E" w:rsidRPr="004B0A4E" w:rsidRDefault="00425C5E" w:rsidP="00425C5E">
      <w:pPr>
        <w:spacing w:after="0" w:line="240" w:lineRule="auto"/>
        <w:ind w:firstLine="993"/>
        <w:jc w:val="center"/>
        <w:rPr>
          <w:rFonts w:ascii="PT Astra Serif" w:eastAsia="Times New Roman" w:hAnsi="PT Astra Serif" w:cs="Times New Roman"/>
          <w:b/>
          <w:sz w:val="28"/>
          <w:szCs w:val="24"/>
        </w:rPr>
      </w:pPr>
    </w:p>
    <w:p w:rsidR="00425C5E" w:rsidRPr="004B0A4E" w:rsidRDefault="00425C5E" w:rsidP="005E34A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Расходы консолидированного бюджета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на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2024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утверждены в сумме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986514,7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тыс.руб., по МО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–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892968,5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тыс.руб., по поселениям 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Цильнинского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района –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193019,3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тыс.руб.</w:t>
      </w:r>
    </w:p>
    <w:p w:rsidR="00425C5E" w:rsidRPr="004B0A4E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Фактические расходы за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составили по консолидированному бюджету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в сумме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962877,3 </w:t>
      </w:r>
      <w:r w:rsidR="00B015A5" w:rsidRPr="004B0A4E">
        <w:rPr>
          <w:rFonts w:ascii="PT Astra Serif" w:eastAsia="Times New Roman" w:hAnsi="PT Astra Serif" w:cs="Times New Roman"/>
          <w:sz w:val="28"/>
          <w:szCs w:val="24"/>
        </w:rPr>
        <w:t>тыс.руб. (</w:t>
      </w:r>
      <w:r w:rsidR="005E34AD" w:rsidRPr="004B0A4E">
        <w:rPr>
          <w:rFonts w:ascii="PT Astra Serif" w:eastAsia="Times New Roman" w:hAnsi="PT Astra Serif" w:cs="Times New Roman"/>
          <w:sz w:val="28"/>
          <w:szCs w:val="24"/>
        </w:rPr>
        <w:t>9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7,6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%), по МО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871725,5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тыс.руб.(9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7,6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%), по поселениям 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Цильнинского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района –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188945,3 </w:t>
      </w:r>
      <w:r w:rsidR="00300696"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 руб.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(</w:t>
      </w:r>
      <w:r w:rsidR="00B015A5" w:rsidRPr="004B0A4E">
        <w:rPr>
          <w:rFonts w:ascii="PT Astra Serif" w:eastAsia="Times New Roman" w:hAnsi="PT Astra Serif" w:cs="Times New Roman"/>
          <w:sz w:val="28"/>
          <w:szCs w:val="24"/>
        </w:rPr>
        <w:t>9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7,9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%).</w:t>
      </w:r>
    </w:p>
    <w:p w:rsidR="00425C5E" w:rsidRPr="004B0A4E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Дефицит консолидированного бюджета МО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на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утвержден в сумме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24691,3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тыс.руб., 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>по МО «</w:t>
      </w:r>
      <w:proofErr w:type="spellStart"/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–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19652,4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тыс.руб., по поселениям 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Цильнинского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района –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5038,8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тыс.руб.</w:t>
      </w:r>
    </w:p>
    <w:p w:rsidR="00425C5E" w:rsidRPr="004B0A4E" w:rsidRDefault="00425C5E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Фактически консолидированн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 xml:space="preserve">ый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бюджет МО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>з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а </w:t>
      </w:r>
      <w:r w:rsidR="00E2707C" w:rsidRPr="004B0A4E">
        <w:rPr>
          <w:rFonts w:ascii="PT Astra Serif" w:eastAsia="Times New Roman" w:hAnsi="PT Astra Serif" w:cs="Times New Roman"/>
          <w:sz w:val="28"/>
          <w:szCs w:val="24"/>
        </w:rPr>
        <w:t>202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 xml:space="preserve">исполнен с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>де</w:t>
      </w:r>
      <w:r w:rsidR="006275CD" w:rsidRPr="004B0A4E">
        <w:rPr>
          <w:rFonts w:ascii="PT Astra Serif" w:eastAsia="Times New Roman" w:hAnsi="PT Astra Serif" w:cs="Times New Roman"/>
          <w:sz w:val="28"/>
          <w:szCs w:val="24"/>
        </w:rPr>
        <w:t>ф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 xml:space="preserve">ицитом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в сумме </w:t>
      </w:r>
      <w:r w:rsidR="001F78F9" w:rsidRPr="004B0A4E">
        <w:rPr>
          <w:rFonts w:ascii="PT Astra Serif" w:eastAsia="Times New Roman" w:hAnsi="PT Astra Serif" w:cs="Times New Roman"/>
          <w:sz w:val="28"/>
          <w:szCs w:val="24"/>
        </w:rPr>
        <w:t xml:space="preserve">10682,9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тыс.руб., по МО </w:t>
      </w:r>
      <w:r w:rsidR="00265FD4" w:rsidRPr="004B0A4E">
        <w:rPr>
          <w:rFonts w:ascii="PT Astra Serif" w:eastAsia="Times New Roman" w:hAnsi="PT Astra Serif" w:cs="Times New Roman"/>
          <w:sz w:val="28"/>
          <w:szCs w:val="24"/>
        </w:rPr>
        <w:t>«</w:t>
      </w:r>
      <w:proofErr w:type="spellStart"/>
      <w:r w:rsidR="00265FD4"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="00265FD4"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="006275CD" w:rsidRPr="004B0A4E">
        <w:rPr>
          <w:rFonts w:ascii="PT Astra Serif" w:eastAsia="Times New Roman" w:hAnsi="PT Astra Serif" w:cs="Times New Roman"/>
          <w:sz w:val="28"/>
          <w:szCs w:val="24"/>
        </w:rPr>
        <w:t xml:space="preserve">с </w:t>
      </w:r>
      <w:r w:rsidR="00E52D80" w:rsidRPr="004B0A4E">
        <w:rPr>
          <w:rFonts w:ascii="PT Astra Serif" w:eastAsia="Times New Roman" w:hAnsi="PT Astra Serif" w:cs="Times New Roman"/>
          <w:sz w:val="28"/>
          <w:szCs w:val="24"/>
        </w:rPr>
        <w:t>де</w:t>
      </w:r>
      <w:r w:rsidR="006275CD" w:rsidRPr="004B0A4E">
        <w:rPr>
          <w:rFonts w:ascii="PT Astra Serif" w:eastAsia="Times New Roman" w:hAnsi="PT Astra Serif" w:cs="Times New Roman"/>
          <w:sz w:val="28"/>
          <w:szCs w:val="24"/>
        </w:rPr>
        <w:t xml:space="preserve">фицитом </w:t>
      </w:r>
      <w:r w:rsidR="00E52D80" w:rsidRPr="004B0A4E">
        <w:rPr>
          <w:rFonts w:ascii="PT Astra Serif" w:eastAsia="Times New Roman" w:hAnsi="PT Astra Serif" w:cs="Times New Roman"/>
          <w:sz w:val="28"/>
          <w:szCs w:val="24"/>
        </w:rPr>
        <w:t>8582</w:t>
      </w:r>
      <w:r w:rsidR="006275CD" w:rsidRPr="004B0A4E">
        <w:rPr>
          <w:rFonts w:ascii="PT Astra Serif" w:eastAsia="Times New Roman" w:hAnsi="PT Astra Serif" w:cs="Times New Roman"/>
          <w:sz w:val="28"/>
          <w:szCs w:val="24"/>
        </w:rPr>
        <w:t xml:space="preserve">,1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тыс.руб., по поселениям 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Цильнинского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района </w:t>
      </w:r>
      <w:r w:rsidR="006275CD" w:rsidRPr="004B0A4E">
        <w:rPr>
          <w:rFonts w:ascii="PT Astra Serif" w:eastAsia="Times New Roman" w:hAnsi="PT Astra Serif" w:cs="Times New Roman"/>
          <w:sz w:val="28"/>
          <w:szCs w:val="24"/>
        </w:rPr>
        <w:t xml:space="preserve">с дефицитом </w:t>
      </w:r>
      <w:r w:rsidR="00E52D80" w:rsidRPr="004B0A4E">
        <w:rPr>
          <w:rFonts w:ascii="PT Astra Serif" w:eastAsia="Times New Roman" w:hAnsi="PT Astra Serif" w:cs="Times New Roman"/>
          <w:sz w:val="28"/>
          <w:szCs w:val="24"/>
        </w:rPr>
        <w:t xml:space="preserve">2100,1 </w:t>
      </w:r>
      <w:r w:rsidR="001C38CB" w:rsidRPr="004B0A4E">
        <w:rPr>
          <w:rFonts w:ascii="PT Astra Serif" w:eastAsia="Times New Roman" w:hAnsi="PT Astra Serif" w:cs="Times New Roman"/>
          <w:sz w:val="28"/>
          <w:szCs w:val="24"/>
        </w:rPr>
        <w:t>тыс.руб.</w:t>
      </w:r>
    </w:p>
    <w:p w:rsidR="004F06BD" w:rsidRPr="004B0A4E" w:rsidRDefault="004F06BD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425C5E" w:rsidRPr="004B0A4E" w:rsidRDefault="00425C5E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Исполнение бюджета по отраслям бюджетной классификации составил</w:t>
      </w:r>
      <w:r w:rsidR="004F06BD" w:rsidRPr="004B0A4E">
        <w:rPr>
          <w:rFonts w:ascii="PT Astra Serif" w:eastAsia="Times New Roman" w:hAnsi="PT Astra Serif" w:cs="Times New Roman"/>
          <w:sz w:val="28"/>
          <w:szCs w:val="24"/>
        </w:rPr>
        <w:t>о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:</w:t>
      </w:r>
    </w:p>
    <w:p w:rsidR="00425C5E" w:rsidRPr="004B0A4E" w:rsidRDefault="00425C5E" w:rsidP="00425C5E">
      <w:pPr>
        <w:spacing w:after="0" w:line="240" w:lineRule="auto"/>
        <w:ind w:firstLine="573"/>
        <w:jc w:val="right"/>
        <w:rPr>
          <w:rFonts w:ascii="PT Astra Serif" w:hAnsi="PT Astra Serif" w:cs="Times New Roman"/>
          <w:sz w:val="24"/>
          <w:szCs w:val="24"/>
        </w:rPr>
      </w:pPr>
      <w:r w:rsidRPr="004B0A4E">
        <w:rPr>
          <w:rFonts w:ascii="PT Astra Serif" w:hAnsi="PT Astra Serif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5"/>
        <w:gridCol w:w="1453"/>
        <w:gridCol w:w="1305"/>
        <w:gridCol w:w="1307"/>
        <w:gridCol w:w="1300"/>
      </w:tblGrid>
      <w:tr w:rsidR="0003571D" w:rsidRPr="004B0A4E" w:rsidTr="004F06BD">
        <w:trPr>
          <w:trHeight w:val="710"/>
        </w:trPr>
        <w:tc>
          <w:tcPr>
            <w:tcW w:w="2197" w:type="pct"/>
            <w:shd w:val="clear" w:color="auto" w:fill="auto"/>
            <w:vAlign w:val="center"/>
            <w:hideMark/>
          </w:tcPr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план            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 xml:space="preserve">факт             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Доля</w:t>
            </w:r>
          </w:p>
          <w:p w:rsidR="0003571D" w:rsidRPr="004B0A4E" w:rsidRDefault="0003571D" w:rsidP="00E52D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B0A4E">
              <w:rPr>
                <w:rFonts w:ascii="PT Astra Serif" w:hAnsi="PT Astra Serif" w:cs="Times New Roman"/>
                <w:sz w:val="20"/>
                <w:szCs w:val="20"/>
              </w:rPr>
              <w:t>в общих расходах, 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130 494,7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128 743,2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98,7%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13,4%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Национальная оборона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1 704,0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1 661,6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97,5%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0,2%</w:t>
            </w:r>
          </w:p>
        </w:tc>
      </w:tr>
      <w:tr w:rsidR="00E52D80" w:rsidRPr="004B0A4E" w:rsidTr="00E52D80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6 482,7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6 458,3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99,6%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0,7%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82 719,0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79 208,1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95,8%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8,2%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51 004,6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50 320,3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98,7%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5,2%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598 524,1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590 288,1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98,6%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61,3%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69 021,2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62 314,9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90,3%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6,5%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41 225,1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39 112,9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94,9%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bookmarkStart w:id="0" w:name="RANGE!F19"/>
            <w:r w:rsidRPr="004B0A4E">
              <w:rPr>
                <w:rFonts w:ascii="PT Astra Serif" w:hAnsi="PT Astra Serif" w:cs="Arial"/>
                <w:sz w:val="24"/>
                <w:szCs w:val="24"/>
              </w:rPr>
              <w:t>4,1%</w:t>
            </w:r>
            <w:bookmarkEnd w:id="0"/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356,1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306,0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85,9%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0,0%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4 463,8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sz w:val="24"/>
                <w:szCs w:val="24"/>
              </w:rPr>
              <w:t>4 463,8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100,0%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sz w:val="24"/>
                <w:szCs w:val="24"/>
              </w:rPr>
              <w:t>0,5%</w:t>
            </w:r>
          </w:p>
        </w:tc>
      </w:tr>
      <w:tr w:rsidR="00E52D80" w:rsidRPr="004B0A4E" w:rsidTr="00491B26">
        <w:trPr>
          <w:trHeight w:val="240"/>
        </w:trPr>
        <w:tc>
          <w:tcPr>
            <w:tcW w:w="2197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985 995,4</w:t>
            </w:r>
          </w:p>
        </w:tc>
        <w:tc>
          <w:tcPr>
            <w:tcW w:w="682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4B0A4E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962 877,3</w:t>
            </w:r>
          </w:p>
        </w:tc>
        <w:tc>
          <w:tcPr>
            <w:tcW w:w="683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B0A4E">
              <w:rPr>
                <w:rFonts w:ascii="PT Astra Serif" w:hAnsi="PT Astra Serif" w:cs="Arial"/>
                <w:b/>
                <w:sz w:val="24"/>
                <w:szCs w:val="24"/>
              </w:rPr>
              <w:t>97,7%</w:t>
            </w:r>
          </w:p>
        </w:tc>
        <w:tc>
          <w:tcPr>
            <w:tcW w:w="679" w:type="pct"/>
            <w:shd w:val="clear" w:color="auto" w:fill="auto"/>
            <w:vAlign w:val="bottom"/>
            <w:hideMark/>
          </w:tcPr>
          <w:p w:rsidR="00E52D80" w:rsidRPr="004B0A4E" w:rsidRDefault="00E52D80" w:rsidP="00E52D80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425C5E" w:rsidRPr="004B0A4E" w:rsidRDefault="00425C5E" w:rsidP="00425C5E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13892" w:rsidRPr="004B0A4E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Исполнение бюджета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осуществляется  финансовым управлением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в автоматизированной системе «</w:t>
      </w:r>
      <w:r w:rsidR="00440B42" w:rsidRPr="004B0A4E">
        <w:rPr>
          <w:rFonts w:ascii="PT Astra Serif" w:eastAsia="Times New Roman" w:hAnsi="PT Astra Serif" w:cs="Times New Roman"/>
          <w:sz w:val="28"/>
          <w:szCs w:val="24"/>
        </w:rPr>
        <w:t>АЦК-Финансы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». Для осуществления операций со средствами бюджета 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открыто в финансовом управлении </w:t>
      </w:r>
      <w:r w:rsidR="00FE7680" w:rsidRPr="004B0A4E">
        <w:rPr>
          <w:rFonts w:ascii="PT Astra Serif" w:eastAsia="Times New Roman" w:hAnsi="PT Astra Serif" w:cs="Times New Roman"/>
          <w:sz w:val="28"/>
          <w:szCs w:val="24"/>
        </w:rPr>
        <w:t>48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лицевых счетов муниципальным учреждениям – получателям бюджетных средств.</w:t>
      </w:r>
    </w:p>
    <w:p w:rsidR="00B13892" w:rsidRPr="004B0A4E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За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2024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сформи</w:t>
      </w:r>
      <w:r w:rsidR="00680E73" w:rsidRPr="004B0A4E">
        <w:rPr>
          <w:rFonts w:ascii="PT Astra Serif" w:eastAsia="Times New Roman" w:hAnsi="PT Astra Serif" w:cs="Times New Roman"/>
          <w:sz w:val="28"/>
          <w:szCs w:val="24"/>
        </w:rPr>
        <w:t xml:space="preserve">ровано и отправлено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32964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плат</w:t>
      </w:r>
      <w:r w:rsidR="00680E73" w:rsidRPr="004B0A4E">
        <w:rPr>
          <w:rFonts w:ascii="PT Astra Serif" w:eastAsia="Times New Roman" w:hAnsi="PT Astra Serif" w:cs="Times New Roman"/>
          <w:sz w:val="28"/>
          <w:szCs w:val="24"/>
        </w:rPr>
        <w:t xml:space="preserve">ежных поручений на общую сумму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1 439 340 553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руб.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66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коп.,в среднем 1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33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платежных поручения ежедневно, оформлено и отправлено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74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уведомлений об уточнении вида и принадлежности платежа.</w:t>
      </w:r>
    </w:p>
    <w:p w:rsidR="00B13892" w:rsidRPr="004B0A4E" w:rsidRDefault="00B13892" w:rsidP="007A6DD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Отделом казначейского исполнения муниципального бюджета при санкционировании расходов осуществляется текущий контроль первичных платежных документов в соответствии с требованиями, установленными нормативно-правовыми актами органов местного самоуправления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район», финансовым управлением администрации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район», Бюджетным Кодексом РФ, Налоговым Кодексом РФ, Гражданским кодексом РФ.</w:t>
      </w:r>
    </w:p>
    <w:p w:rsidR="00B13892" w:rsidRPr="004B0A4E" w:rsidRDefault="00B13892" w:rsidP="00F73B3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Отделом бюджетного учета, контроля и отчетности обеспечено своевременное и качественное составление ежемесячной отчетности по исполнению консолидированного бюджета. Составлен и представлен своевременно и с хорошим качеством отчет об исполнении консолидированного бюджета за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2024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год, подготовлено решение Совета депутатов об утверждении отчета об исполнении бюджета муниципального образования за </w:t>
      </w:r>
      <w:r w:rsidR="00AE0AEB" w:rsidRPr="004B0A4E">
        <w:rPr>
          <w:rFonts w:ascii="PT Astra Serif" w:eastAsia="Times New Roman" w:hAnsi="PT Astra Serif" w:cs="Times New Roman"/>
          <w:sz w:val="28"/>
          <w:szCs w:val="24"/>
        </w:rPr>
        <w:t>2024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год с соответствующим пакетом необходимых документов на заседание Совета депутатов муниципального образования 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</w:t>
      </w:r>
      <w:r w:rsidR="00F73B39" w:rsidRPr="004B0A4E">
        <w:rPr>
          <w:rFonts w:ascii="PT Astra Serif" w:eastAsia="Times New Roman" w:hAnsi="PT Astra Serif" w:cs="Times New Roman"/>
          <w:sz w:val="28"/>
          <w:szCs w:val="24"/>
        </w:rPr>
        <w:t>»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>.</w:t>
      </w:r>
    </w:p>
    <w:p w:rsidR="00B570C2" w:rsidRPr="004B0A4E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B570C2" w:rsidRPr="004B0A4E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B570C2" w:rsidRPr="004B0A4E" w:rsidRDefault="00B570C2" w:rsidP="00B570C2">
      <w:pPr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sz w:val="28"/>
          <w:szCs w:val="24"/>
        </w:rPr>
      </w:pPr>
    </w:p>
    <w:p w:rsidR="007A6DD5" w:rsidRPr="004B0A4E" w:rsidRDefault="00440B42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Н</w:t>
      </w:r>
      <w:r w:rsidR="007A6DD5" w:rsidRPr="004B0A4E">
        <w:rPr>
          <w:rFonts w:ascii="PT Astra Serif" w:eastAsia="Times New Roman" w:hAnsi="PT Astra Serif" w:cs="Times New Roman"/>
          <w:sz w:val="28"/>
          <w:szCs w:val="24"/>
        </w:rPr>
        <w:t xml:space="preserve">ачальник финансового </w:t>
      </w:r>
    </w:p>
    <w:p w:rsidR="007A6DD5" w:rsidRPr="004B0A4E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управления администрации </w:t>
      </w:r>
    </w:p>
    <w:p w:rsidR="007A6DD5" w:rsidRPr="004B0A4E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муниципального образования </w:t>
      </w:r>
    </w:p>
    <w:p w:rsidR="00B13892" w:rsidRPr="004B0A4E" w:rsidRDefault="007A6DD5" w:rsidP="00B13892">
      <w:pPr>
        <w:tabs>
          <w:tab w:val="left" w:pos="7181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4"/>
        </w:rPr>
      </w:pPr>
      <w:r w:rsidRPr="004B0A4E">
        <w:rPr>
          <w:rFonts w:ascii="PT Astra Serif" w:eastAsia="Times New Roman" w:hAnsi="PT Astra Serif" w:cs="Times New Roman"/>
          <w:sz w:val="28"/>
          <w:szCs w:val="24"/>
        </w:rPr>
        <w:t>«</w:t>
      </w:r>
      <w:proofErr w:type="spellStart"/>
      <w:r w:rsidRPr="004B0A4E">
        <w:rPr>
          <w:rFonts w:ascii="PT Astra Serif" w:eastAsia="Times New Roman" w:hAnsi="PT Astra Serif" w:cs="Times New Roman"/>
          <w:sz w:val="28"/>
          <w:szCs w:val="24"/>
        </w:rPr>
        <w:t>Цильнинский</w:t>
      </w:r>
      <w:proofErr w:type="spellEnd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 район» </w:t>
      </w:r>
      <w:r w:rsidRPr="004B0A4E">
        <w:rPr>
          <w:rFonts w:ascii="PT Astra Serif" w:eastAsia="Times New Roman" w:hAnsi="PT Astra Serif" w:cs="Times New Roman"/>
          <w:sz w:val="28"/>
          <w:szCs w:val="24"/>
        </w:rPr>
        <w:tab/>
      </w:r>
      <w:bookmarkStart w:id="1" w:name="_GoBack"/>
      <w:bookmarkEnd w:id="1"/>
      <w:r w:rsidRPr="004B0A4E">
        <w:rPr>
          <w:rFonts w:ascii="PT Astra Serif" w:eastAsia="Times New Roman" w:hAnsi="PT Astra Serif" w:cs="Times New Roman"/>
          <w:sz w:val="28"/>
          <w:szCs w:val="24"/>
        </w:rPr>
        <w:t xml:space="preserve">О.В. Краснова </w:t>
      </w:r>
    </w:p>
    <w:p w:rsidR="00B13892" w:rsidRPr="004B0A4E" w:rsidRDefault="00B13892" w:rsidP="00B13892">
      <w:pPr>
        <w:spacing w:after="0" w:line="360" w:lineRule="auto"/>
        <w:rPr>
          <w:rFonts w:ascii="PT Astra Serif" w:hAnsi="PT Astra Serif" w:cs="Times New Roman"/>
          <w:sz w:val="28"/>
          <w:szCs w:val="24"/>
        </w:rPr>
      </w:pPr>
    </w:p>
    <w:p w:rsidR="00423881" w:rsidRPr="0067604F" w:rsidRDefault="00423881" w:rsidP="00B13892">
      <w:pPr>
        <w:rPr>
          <w:rFonts w:ascii="PT Astra Serif" w:hAnsi="PT Astra Serif" w:cs="Times New Roman"/>
          <w:szCs w:val="28"/>
        </w:rPr>
      </w:pPr>
    </w:p>
    <w:sectPr w:rsidR="00423881" w:rsidRPr="0067604F" w:rsidSect="00B570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A7F"/>
    <w:rsid w:val="00005C5D"/>
    <w:rsid w:val="00027F56"/>
    <w:rsid w:val="00032AD9"/>
    <w:rsid w:val="0003571D"/>
    <w:rsid w:val="00060DB2"/>
    <w:rsid w:val="00072454"/>
    <w:rsid w:val="000746B5"/>
    <w:rsid w:val="000A7BDA"/>
    <w:rsid w:val="000B6E8C"/>
    <w:rsid w:val="000C0656"/>
    <w:rsid w:val="000E429C"/>
    <w:rsid w:val="00100E42"/>
    <w:rsid w:val="00145129"/>
    <w:rsid w:val="0015217E"/>
    <w:rsid w:val="00153875"/>
    <w:rsid w:val="00160EA8"/>
    <w:rsid w:val="00164E5D"/>
    <w:rsid w:val="00193AB7"/>
    <w:rsid w:val="001C38CB"/>
    <w:rsid w:val="001C7CCC"/>
    <w:rsid w:val="001E4C04"/>
    <w:rsid w:val="001F2EF2"/>
    <w:rsid w:val="001F78F9"/>
    <w:rsid w:val="002113E8"/>
    <w:rsid w:val="00227317"/>
    <w:rsid w:val="00227AF9"/>
    <w:rsid w:val="002418A5"/>
    <w:rsid w:val="00247AB8"/>
    <w:rsid w:val="0025274F"/>
    <w:rsid w:val="00252D0A"/>
    <w:rsid w:val="0025386A"/>
    <w:rsid w:val="00260946"/>
    <w:rsid w:val="00260CE2"/>
    <w:rsid w:val="00265FD4"/>
    <w:rsid w:val="002A1FA1"/>
    <w:rsid w:val="002A63AD"/>
    <w:rsid w:val="002B0E69"/>
    <w:rsid w:val="002B6DAE"/>
    <w:rsid w:val="002C57B2"/>
    <w:rsid w:val="002D0568"/>
    <w:rsid w:val="002E04D6"/>
    <w:rsid w:val="002E32E7"/>
    <w:rsid w:val="002F385B"/>
    <w:rsid w:val="002F3A35"/>
    <w:rsid w:val="00300696"/>
    <w:rsid w:val="00315F64"/>
    <w:rsid w:val="003656F2"/>
    <w:rsid w:val="00374B9E"/>
    <w:rsid w:val="00395446"/>
    <w:rsid w:val="003A22B6"/>
    <w:rsid w:val="003A482A"/>
    <w:rsid w:val="003C279A"/>
    <w:rsid w:val="003C28E4"/>
    <w:rsid w:val="003D1488"/>
    <w:rsid w:val="003D5040"/>
    <w:rsid w:val="003E5D2E"/>
    <w:rsid w:val="003F122B"/>
    <w:rsid w:val="004071D9"/>
    <w:rsid w:val="0042086D"/>
    <w:rsid w:val="00423881"/>
    <w:rsid w:val="00425C5E"/>
    <w:rsid w:val="004330D7"/>
    <w:rsid w:val="004356F6"/>
    <w:rsid w:val="00440B42"/>
    <w:rsid w:val="00442504"/>
    <w:rsid w:val="00457825"/>
    <w:rsid w:val="00491B26"/>
    <w:rsid w:val="004B0A4E"/>
    <w:rsid w:val="004B2934"/>
    <w:rsid w:val="004B2CF2"/>
    <w:rsid w:val="004C0E0C"/>
    <w:rsid w:val="004C52B4"/>
    <w:rsid w:val="004D12CB"/>
    <w:rsid w:val="004E4108"/>
    <w:rsid w:val="004E6F8D"/>
    <w:rsid w:val="004E7899"/>
    <w:rsid w:val="004F06BD"/>
    <w:rsid w:val="00503E73"/>
    <w:rsid w:val="0051497F"/>
    <w:rsid w:val="00514F3A"/>
    <w:rsid w:val="0052706D"/>
    <w:rsid w:val="00534F06"/>
    <w:rsid w:val="0054531D"/>
    <w:rsid w:val="005606D2"/>
    <w:rsid w:val="005676DF"/>
    <w:rsid w:val="0058505A"/>
    <w:rsid w:val="005A021E"/>
    <w:rsid w:val="005B7333"/>
    <w:rsid w:val="005C6467"/>
    <w:rsid w:val="005E34AD"/>
    <w:rsid w:val="0060207D"/>
    <w:rsid w:val="00602D06"/>
    <w:rsid w:val="0060701C"/>
    <w:rsid w:val="00625A03"/>
    <w:rsid w:val="006275CD"/>
    <w:rsid w:val="006348C5"/>
    <w:rsid w:val="00644D8D"/>
    <w:rsid w:val="00653387"/>
    <w:rsid w:val="00675BE7"/>
    <w:rsid w:val="0067604F"/>
    <w:rsid w:val="006768E1"/>
    <w:rsid w:val="00680E73"/>
    <w:rsid w:val="006851A6"/>
    <w:rsid w:val="006A4A7F"/>
    <w:rsid w:val="006D5F84"/>
    <w:rsid w:val="006F1F8D"/>
    <w:rsid w:val="0070093B"/>
    <w:rsid w:val="00704F55"/>
    <w:rsid w:val="00711732"/>
    <w:rsid w:val="00735022"/>
    <w:rsid w:val="00746305"/>
    <w:rsid w:val="007858AB"/>
    <w:rsid w:val="0079182F"/>
    <w:rsid w:val="0079780F"/>
    <w:rsid w:val="00797C79"/>
    <w:rsid w:val="007A6DD5"/>
    <w:rsid w:val="007B2B65"/>
    <w:rsid w:val="007B6297"/>
    <w:rsid w:val="007B7C12"/>
    <w:rsid w:val="007F1C1D"/>
    <w:rsid w:val="007F2A3B"/>
    <w:rsid w:val="007F56F5"/>
    <w:rsid w:val="0081044E"/>
    <w:rsid w:val="00820E74"/>
    <w:rsid w:val="00834151"/>
    <w:rsid w:val="00846E14"/>
    <w:rsid w:val="008768E6"/>
    <w:rsid w:val="0089329A"/>
    <w:rsid w:val="0089389D"/>
    <w:rsid w:val="008A6A73"/>
    <w:rsid w:val="008B0D67"/>
    <w:rsid w:val="008B1341"/>
    <w:rsid w:val="008B79D9"/>
    <w:rsid w:val="008C00EF"/>
    <w:rsid w:val="008C4A08"/>
    <w:rsid w:val="008E288C"/>
    <w:rsid w:val="008E4A0E"/>
    <w:rsid w:val="008E653A"/>
    <w:rsid w:val="0091222B"/>
    <w:rsid w:val="00930E24"/>
    <w:rsid w:val="00934E88"/>
    <w:rsid w:val="00960C72"/>
    <w:rsid w:val="009A7CFD"/>
    <w:rsid w:val="009B1501"/>
    <w:rsid w:val="009B28CD"/>
    <w:rsid w:val="009B4AB6"/>
    <w:rsid w:val="009C6B49"/>
    <w:rsid w:val="009D547E"/>
    <w:rsid w:val="009D75DC"/>
    <w:rsid w:val="009E0F1D"/>
    <w:rsid w:val="009E4BA3"/>
    <w:rsid w:val="009F1127"/>
    <w:rsid w:val="009F6EFD"/>
    <w:rsid w:val="00A261DB"/>
    <w:rsid w:val="00A32628"/>
    <w:rsid w:val="00A32F6E"/>
    <w:rsid w:val="00A33C84"/>
    <w:rsid w:val="00A354EE"/>
    <w:rsid w:val="00A36D3C"/>
    <w:rsid w:val="00A4066E"/>
    <w:rsid w:val="00A43A55"/>
    <w:rsid w:val="00A501BC"/>
    <w:rsid w:val="00A85031"/>
    <w:rsid w:val="00A86111"/>
    <w:rsid w:val="00A96A43"/>
    <w:rsid w:val="00A96EC0"/>
    <w:rsid w:val="00AD6534"/>
    <w:rsid w:val="00AE0AEB"/>
    <w:rsid w:val="00AE1569"/>
    <w:rsid w:val="00AE6EC9"/>
    <w:rsid w:val="00B015A5"/>
    <w:rsid w:val="00B06B1D"/>
    <w:rsid w:val="00B13892"/>
    <w:rsid w:val="00B44887"/>
    <w:rsid w:val="00B45DEA"/>
    <w:rsid w:val="00B570C2"/>
    <w:rsid w:val="00B6775C"/>
    <w:rsid w:val="00B76920"/>
    <w:rsid w:val="00B94541"/>
    <w:rsid w:val="00B956F0"/>
    <w:rsid w:val="00BA6C0E"/>
    <w:rsid w:val="00BA7DC4"/>
    <w:rsid w:val="00BC0AD7"/>
    <w:rsid w:val="00BC2402"/>
    <w:rsid w:val="00BD28D7"/>
    <w:rsid w:val="00C016D0"/>
    <w:rsid w:val="00C04DD1"/>
    <w:rsid w:val="00C41D0B"/>
    <w:rsid w:val="00C426A2"/>
    <w:rsid w:val="00C429F1"/>
    <w:rsid w:val="00C5098F"/>
    <w:rsid w:val="00C51D96"/>
    <w:rsid w:val="00C80253"/>
    <w:rsid w:val="00C87AB5"/>
    <w:rsid w:val="00C91CDB"/>
    <w:rsid w:val="00C91E51"/>
    <w:rsid w:val="00C97ED9"/>
    <w:rsid w:val="00CA49A1"/>
    <w:rsid w:val="00CF58E9"/>
    <w:rsid w:val="00D007DD"/>
    <w:rsid w:val="00D0387A"/>
    <w:rsid w:val="00D1157D"/>
    <w:rsid w:val="00D2051E"/>
    <w:rsid w:val="00D41B2F"/>
    <w:rsid w:val="00D47CBA"/>
    <w:rsid w:val="00D63274"/>
    <w:rsid w:val="00D6745D"/>
    <w:rsid w:val="00D67EF5"/>
    <w:rsid w:val="00D716AE"/>
    <w:rsid w:val="00D93159"/>
    <w:rsid w:val="00DA6486"/>
    <w:rsid w:val="00DB221E"/>
    <w:rsid w:val="00DD6BD8"/>
    <w:rsid w:val="00DE05F5"/>
    <w:rsid w:val="00DF5FBC"/>
    <w:rsid w:val="00E07983"/>
    <w:rsid w:val="00E23976"/>
    <w:rsid w:val="00E2707C"/>
    <w:rsid w:val="00E418CE"/>
    <w:rsid w:val="00E41D6D"/>
    <w:rsid w:val="00E447CF"/>
    <w:rsid w:val="00E45E4E"/>
    <w:rsid w:val="00E52D80"/>
    <w:rsid w:val="00E6047B"/>
    <w:rsid w:val="00E71724"/>
    <w:rsid w:val="00E832B3"/>
    <w:rsid w:val="00E9435F"/>
    <w:rsid w:val="00E9755F"/>
    <w:rsid w:val="00EB5041"/>
    <w:rsid w:val="00EC06A6"/>
    <w:rsid w:val="00EC6339"/>
    <w:rsid w:val="00EE1D78"/>
    <w:rsid w:val="00EF3B33"/>
    <w:rsid w:val="00EF6D14"/>
    <w:rsid w:val="00F1260F"/>
    <w:rsid w:val="00F31996"/>
    <w:rsid w:val="00F34616"/>
    <w:rsid w:val="00F35953"/>
    <w:rsid w:val="00F6278D"/>
    <w:rsid w:val="00F6544C"/>
    <w:rsid w:val="00F65720"/>
    <w:rsid w:val="00F67656"/>
    <w:rsid w:val="00F70AA7"/>
    <w:rsid w:val="00F73B39"/>
    <w:rsid w:val="00F77C32"/>
    <w:rsid w:val="00F95937"/>
    <w:rsid w:val="00FD2FA2"/>
    <w:rsid w:val="00FE7680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7"/>
  </w:style>
  <w:style w:type="paragraph" w:styleId="4">
    <w:name w:val="heading 4"/>
    <w:basedOn w:val="a"/>
    <w:next w:val="a"/>
    <w:link w:val="40"/>
    <w:qFormat/>
    <w:rsid w:val="00B13892"/>
    <w:pPr>
      <w:keepNext/>
      <w:spacing w:after="0" w:line="240" w:lineRule="auto"/>
      <w:jc w:val="center"/>
      <w:outlineLvl w:val="3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qFormat/>
    <w:rsid w:val="00B13892"/>
    <w:pPr>
      <w:keepNext/>
      <w:autoSpaceDN w:val="0"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8E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13892"/>
    <w:rPr>
      <w:rFonts w:ascii="Arial CYR" w:eastAsia="Times New Roman" w:hAnsi="Arial CYR" w:cs="Arial CYR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3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B13892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1389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B138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Название Знак"/>
    <w:basedOn w:val="a0"/>
    <w:link w:val="a5"/>
    <w:rsid w:val="00B13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138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1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138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13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56F0"/>
    <w:pPr>
      <w:widowControl w:val="0"/>
      <w:autoSpaceDE w:val="0"/>
      <w:autoSpaceDN w:val="0"/>
      <w:adjustRightInd w:val="0"/>
      <w:spacing w:after="0" w:line="253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B956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FBEE-43A2-4992-98C5-D1EC2FD1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Емельянова НА</cp:lastModifiedBy>
  <cp:revision>20</cp:revision>
  <cp:lastPrinted>2025-04-15T07:59:00Z</cp:lastPrinted>
  <dcterms:created xsi:type="dcterms:W3CDTF">2024-04-05T10:49:00Z</dcterms:created>
  <dcterms:modified xsi:type="dcterms:W3CDTF">2025-04-15T07:59:00Z</dcterms:modified>
</cp:coreProperties>
</file>